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b/>
          <w:color w:val="000080"/>
          <w:sz w:val="18"/>
          <w:szCs w:val="18"/>
          <w:shd w:fill="FFFFFF" w:val="clear"/>
        </w:rPr>
      </w:pPr>
      <w:r>
        <w:rPr>
          <w:b/>
          <w:color w:val="000080"/>
          <w:sz w:val="18"/>
          <w:szCs w:val="18"/>
          <w:shd w:fill="FFFFFF" w:val="clea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shape_0" ID="WordArt 10" adj="10800" fillcolor="red" stroked="t" o:allowincell="f" style="position:absolute;margin-left:0.1pt;margin-top:-5.6pt;width:549.7pt;height:37.45pt;mso-wrap-style:none;v-text-anchor:middle;mso-position-horizontal:right;mso-position-horizontal-relative:margin" wp14:anchorId="491F2FB2" type="_x0000_t136">
            <v:path textpathok="t"/>
            <v:textpath on="t" fitshape="t" string="Новогодняя сказка в Крыму" style="font-family:&quot;Arial&quot;;font-size:18pt;font-weight:bold" trim="t"/>
            <v:fill o:detectmouseclick="t" type="solid" color2="aqua" opacity="0.75"/>
            <v:stroke color="black" weight="12600" joinstyle="round" endcap="flat"/>
            <w10:wrap type="none"/>
          </v:shape>
        </w:pict>
      </w:r>
    </w:p>
    <w:p>
      <w:pPr>
        <w:pStyle w:val="Normal"/>
        <w:spacing w:lineRule="auto" w:line="240" w:before="0" w:after="0"/>
        <w:jc w:val="both"/>
        <w:rPr>
          <w:b/>
          <w:color w:val="000080"/>
          <w:sz w:val="18"/>
          <w:szCs w:val="18"/>
          <w:shd w:fill="FFFFFF" w:val="clear"/>
        </w:rPr>
      </w:pPr>
      <w:r>
        <w:rPr>
          <w:b/>
          <w:color w:val="000080"/>
          <w:sz w:val="18"/>
          <w:szCs w:val="1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b/>
          <w:color w:val="000080"/>
          <w:sz w:val="18"/>
          <w:szCs w:val="18"/>
          <w:shd w:fill="FFFFFF" w:val="clear"/>
        </w:rPr>
      </w:pPr>
      <w:r>
        <w:rPr>
          <w:b/>
          <w:color w:val="000080"/>
          <w:sz w:val="18"/>
          <w:szCs w:val="1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b/>
          <w:color w:val="000080"/>
          <w:sz w:val="20"/>
          <w:szCs w:val="20"/>
          <w:shd w:fill="FFFFFF" w:val="clear"/>
        </w:rPr>
      </w:pPr>
      <w:r>
        <w:rPr>
          <w:b/>
          <w:color w:val="000080"/>
          <w:sz w:val="20"/>
          <w:szCs w:val="20"/>
          <w:shd w:fill="FFFFFF" w:val="clear"/>
        </w:rPr>
        <w:t>КРЫМ в любой сезон – это яркая палитра красок, мягкий средиземноморский климат, красивейшие места и всемирно известные ландшафтные и исторические памятники, достопримечательности. Мы приглашаем Вас, увидеть всё самое интересное. Южный Берег, удивительный уголок полуострова, как амфитеатр расположен среди гор и моря, потрясает красотой дворцов и парков. Севастополь – город русской славы! Это самый известный и героический военный порт страны. Это колыбель всего русского православия. Бахчисарай – древний, живописный город в предгорьях Крыма, исторический и архитектурный памятник с богатой культурой и национальными традициями.</w:t>
      </w:r>
    </w:p>
    <w:p>
      <w:pPr>
        <w:pStyle w:val="Normal"/>
        <w:spacing w:lineRule="auto" w:line="240" w:before="0" w:after="0"/>
        <w:jc w:val="both"/>
        <w:rPr>
          <w:b/>
          <w:iCs/>
          <w:color w:val="FF0000"/>
          <w:sz w:val="22"/>
          <w:szCs w:val="22"/>
          <w:shd w:fill="FFFFFF" w:val="clear"/>
          <w:lang w:bidi="en-US"/>
        </w:rPr>
      </w:pPr>
      <w:r>
        <w:rPr>
          <w:b/>
          <w:iCs/>
          <w:color w:val="FF0000"/>
          <w:sz w:val="22"/>
          <w:szCs w:val="22"/>
          <w:shd w:fill="FFFFFF" w:val="clear"/>
          <w:lang w:bidi="en-US"/>
        </w:rPr>
        <w:t xml:space="preserve">Даты тура: 31.12.24-02.01.2025 </w:t>
      </w:r>
    </w:p>
    <w:p>
      <w:pPr>
        <w:pStyle w:val="Normal"/>
        <w:spacing w:lineRule="auto" w:line="240" w:before="0" w:after="0"/>
        <w:jc w:val="both"/>
        <w:rPr>
          <w:b/>
          <w:iCs/>
          <w:color w:val="FF0000"/>
          <w:sz w:val="22"/>
          <w:szCs w:val="22"/>
          <w:shd w:fill="FFFFFF" w:val="clear"/>
          <w:lang w:bidi="en-US"/>
        </w:rPr>
      </w:pPr>
      <w:r>
        <w:rPr>
          <w:b/>
          <w:color w:val="FF0000"/>
          <w:sz w:val="22"/>
          <w:szCs w:val="22"/>
          <w:shd w:fill="FFFFFF" w:val="clear"/>
        </w:rPr>
        <w:t>Продолжительность тура: 3 дня/ 2 ночи</w:t>
      </w:r>
    </w:p>
    <w:tbl>
      <w:tblPr>
        <w:tblW w:w="109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04"/>
        <w:gridCol w:w="9983"/>
      </w:tblGrid>
      <w:tr>
        <w:trPr>
          <w:trHeight w:val="171" w:hRule="atLeast"/>
        </w:trPr>
        <w:tc>
          <w:tcPr>
            <w:tcW w:w="10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ПРОГРАММА   ТУРА      </w:t>
            </w:r>
          </w:p>
        </w:tc>
      </w:tr>
      <w:tr>
        <w:trPr>
          <w:trHeight w:val="422" w:hRule="atLeast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Выезд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30.12.24</w:t>
            </w:r>
          </w:p>
        </w:tc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 Narrow" w:hAnsi="Arial Narrow" w:cs="Calibri"/>
                <w:i w:val="false"/>
                <w:i w:val="false"/>
                <w:color w:val="000000"/>
                <w:sz w:val="18"/>
                <w:szCs w:val="18"/>
                <w:lang w:val="ru-RU"/>
              </w:rPr>
            </w:pPr>
            <w:r>
              <w:rPr>
                <w:rFonts w:cs="Calibri" w:ascii="Arial Narrow" w:hAnsi="Arial Narrow"/>
                <w:b/>
                <w:i w:val="false"/>
                <w:color w:val="000000"/>
                <w:sz w:val="18"/>
                <w:szCs w:val="18"/>
                <w:lang w:val="ru-RU"/>
              </w:rPr>
              <w:t>15:00</w:t>
            </w:r>
            <w:r>
              <w:rPr>
                <w:rFonts w:cs="Calibri" w:ascii="Arial Narrow" w:hAnsi="Arial Narrow"/>
                <w:i w:val="false"/>
                <w:color w:val="000000"/>
                <w:sz w:val="18"/>
                <w:szCs w:val="18"/>
                <w:lang w:val="ru-RU"/>
              </w:rPr>
              <w:t xml:space="preserve"> - </w:t>
            </w:r>
            <w:r>
              <w:rPr>
                <w:rFonts w:cs="Calibri" w:ascii="Arial Narrow" w:hAnsi="Arial Narrow"/>
                <w:b/>
                <w:i w:val="false"/>
                <w:color w:val="000000"/>
                <w:sz w:val="18"/>
                <w:szCs w:val="18"/>
                <w:lang w:val="ru-RU"/>
              </w:rPr>
              <w:t>Отправление из Краснодара,</w:t>
            </w:r>
            <w:r>
              <w:rPr>
                <w:rFonts w:cs="Arial" w:ascii="Arial" w:hAnsi="Arial"/>
                <w:iCs w:val="false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 w:ascii="Arial Narrow" w:hAnsi="Arial Narrow"/>
                <w:b/>
                <w:i w:val="false"/>
                <w:color w:val="000000"/>
                <w:sz w:val="18"/>
                <w:szCs w:val="18"/>
                <w:lang w:val="ru-RU"/>
              </w:rPr>
              <w:t xml:space="preserve">от Гипермаркета Магнит на ул.Дзержинского/Лузана, переезд в г.Ялту, </w:t>
            </w:r>
            <w:r>
              <w:rPr>
                <w:rFonts w:cs="Calibri" w:ascii="Arial Narrow" w:hAnsi="Arial Narrow"/>
                <w:i w:val="false"/>
                <w:color w:val="000000"/>
                <w:sz w:val="18"/>
                <w:szCs w:val="18"/>
                <w:lang w:val="ru-RU"/>
              </w:rPr>
              <w:t>Крым</w:t>
            </w:r>
            <w:r>
              <w:rPr>
                <w:rFonts w:cs="Calibri" w:ascii="Arial Narrow" w:hAnsi="Arial Narrow"/>
                <w:b/>
                <w:i w:val="false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 w:ascii="Arial Narrow" w:hAnsi="Arial Narrow"/>
                <w:i w:val="false"/>
                <w:color w:val="000000"/>
                <w:sz w:val="18"/>
                <w:szCs w:val="18"/>
                <w:lang w:val="ru-RU"/>
              </w:rPr>
              <w:t>по Крымскому мосту (~600 км). Основные населенные пункты посадки по пути: ст.Елизаветинская, п.Белозерный, г.Славянск на Кубани, ст. Анастасиевская, п.Светлый Путь, г.Темрюк, ст.Голубицкая.  По дороге санитарная остановка на автобане, где можно перекусить, выпить чай или кофе.</w:t>
            </w:r>
          </w:p>
        </w:tc>
      </w:tr>
      <w:tr>
        <w:trPr>
          <w:trHeight w:val="1281" w:hRule="atLeast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1-й день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31.12.24</w:t>
            </w:r>
          </w:p>
        </w:tc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color w:val="00008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Дворцы, парки и вино Крыма (Алупка-Ялта)</w:t>
            </w:r>
          </w:p>
          <w:p>
            <w:pPr>
              <w:pStyle w:val="Standard"/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☼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 w:ascii="Arial Narrow" w:hAnsi="Arial Narrow"/>
                <w:b/>
                <w:color w:val="000000"/>
                <w:sz w:val="20"/>
                <w:szCs w:val="20"/>
                <w:lang w:val="ru-RU"/>
              </w:rPr>
              <w:t>Раннее заселение в отель "Муссон" (ориентировочно в 1.00). Отдых</w:t>
            </w:r>
          </w:p>
          <w:p>
            <w:pPr>
              <w:pStyle w:val="Standard"/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☼</w:t>
            </w:r>
            <w:r>
              <w:rPr>
                <w:rFonts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cs="Calibri" w:ascii="Arial Narrow" w:hAnsi="Arial Narrow"/>
                <w:b/>
                <w:color w:val="000000"/>
                <w:sz w:val="20"/>
                <w:szCs w:val="20"/>
                <w:u w:val="single"/>
                <w:lang w:val="ru-RU"/>
              </w:rPr>
              <w:t>Завтрак в отеле</w:t>
            </w:r>
            <w:r>
              <w:rPr>
                <w:rFonts w:cs="Calibri" w:ascii="Arial Narrow" w:hAnsi="Arial Narrow"/>
                <w:b/>
                <w:color w:val="000000"/>
                <w:sz w:val="20"/>
                <w:szCs w:val="20"/>
                <w:lang w:val="ru-RU"/>
              </w:rPr>
              <w:t>; Переезд в п.Алупку</w:t>
            </w:r>
          </w:p>
          <w:p>
            <w:pPr>
              <w:pStyle w:val="Standard"/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cs="Calibri" w:ascii="Arial Narrow" w:hAnsi="Arial Narrow"/>
                <w:b/>
                <w:color w:val="000000"/>
                <w:sz w:val="20"/>
                <w:szCs w:val="20"/>
                <w:lang w:val="ru-RU"/>
              </w:rPr>
              <w:t xml:space="preserve">☼ </w:t>
            </w:r>
            <w:r>
              <w:rPr>
                <w:rFonts w:cs="Calibri" w:ascii="Arial Narrow" w:hAnsi="Arial Narrow"/>
                <w:b/>
                <w:color w:val="000000"/>
                <w:sz w:val="20"/>
                <w:szCs w:val="20"/>
                <w:lang w:val="ru-RU"/>
              </w:rPr>
              <w:t>Экскурсия в Воронцовский дворец и парк</w:t>
            </w:r>
          </w:p>
          <w:p>
            <w:pPr>
              <w:pStyle w:val="Standard"/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cs="Calibri" w:ascii="Arial Narrow" w:hAnsi="Arial Narrow"/>
                <w:b/>
                <w:color w:val="000000"/>
                <w:sz w:val="20"/>
                <w:szCs w:val="20"/>
                <w:lang w:val="ru-RU"/>
              </w:rPr>
              <w:t xml:space="preserve">☼ </w:t>
            </w:r>
            <w:r>
              <w:rPr>
                <w:rFonts w:cs="Calibri" w:ascii="Arial Narrow" w:hAnsi="Arial Narrow"/>
                <w:b/>
                <w:color w:val="000000"/>
                <w:sz w:val="20"/>
                <w:szCs w:val="20"/>
                <w:lang w:val="ru-RU"/>
              </w:rPr>
              <w:t>Дегустация «Классические вина Массандры» в Алупке; Переезд в Ялту</w:t>
            </w:r>
          </w:p>
          <w:p>
            <w:pPr>
              <w:pStyle w:val="Standard"/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cs="Calibri" w:ascii="Arial Narrow" w:hAnsi="Arial Narrow"/>
                <w:b/>
                <w:color w:val="000000"/>
                <w:sz w:val="20"/>
                <w:szCs w:val="20"/>
                <w:lang w:val="ru-RU"/>
              </w:rPr>
              <w:t xml:space="preserve">☼ </w:t>
            </w:r>
            <w:r>
              <w:rPr>
                <w:rFonts w:cs="Calibri" w:ascii="Arial Narrow" w:hAnsi="Arial Narrow"/>
                <w:b/>
                <w:color w:val="000000"/>
                <w:sz w:val="20"/>
                <w:szCs w:val="20"/>
                <w:lang w:val="ru-RU"/>
              </w:rPr>
              <w:t xml:space="preserve">Свободное время для обеда </w:t>
            </w:r>
          </w:p>
          <w:p>
            <w:pPr>
              <w:pStyle w:val="Standard"/>
              <w:tabs>
                <w:tab w:val="clear" w:pos="708"/>
                <w:tab w:val="left" w:pos="7300" w:leader="none"/>
              </w:tabs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cs="Calibri" w:ascii="Arial Narrow" w:hAnsi="Arial Narrow"/>
                <w:b/>
                <w:color w:val="000000"/>
                <w:sz w:val="20"/>
                <w:szCs w:val="20"/>
                <w:lang w:val="ru-RU"/>
              </w:rPr>
              <w:t xml:space="preserve">☼ </w:t>
            </w:r>
            <w:r>
              <w:rPr>
                <w:rFonts w:cs="Calibri" w:ascii="Arial Narrow" w:hAnsi="Arial Narrow"/>
                <w:b/>
                <w:color w:val="000000"/>
                <w:sz w:val="20"/>
                <w:szCs w:val="20"/>
                <w:lang w:val="ru-RU"/>
              </w:rPr>
              <w:t>Обзорная пешеходная экскурсия по набережной Ялты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eastAsia="Andale Sans UI" w:cs="Calibri"/>
                <w:b/>
                <w:color w:val="000000"/>
                <w:kern w:val="2"/>
                <w:sz w:val="20"/>
                <w:szCs w:val="20"/>
                <w:lang w:eastAsia="ja-JP" w:bidi="fa-IR"/>
              </w:rPr>
              <w:t xml:space="preserve">☼ </w:t>
            </w:r>
            <w:r>
              <w:rPr>
                <w:rFonts w:eastAsia="Andale Sans UI" w:cs="Calibri"/>
                <w:b/>
                <w:color w:val="000000"/>
                <w:kern w:val="2"/>
                <w:sz w:val="20"/>
                <w:szCs w:val="20"/>
                <w:lang w:eastAsia="ja-JP" w:bidi="fa-IR"/>
              </w:rPr>
              <w:t>Свободное время для ужина (доп.плата) и подготовки к празднованию Нового года</w:t>
            </w:r>
            <w:r>
              <w:rPr>
                <w:rFonts w:cs="Arial" w:ascii="Arial" w:hAnsi="Arial"/>
                <w:iCs/>
                <w:sz w:val="20"/>
                <w:szCs w:val="20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i/>
                <w:i/>
                <w:iCs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i/>
                <w:iCs/>
                <w:color w:val="FF0000"/>
                <w:sz w:val="17"/>
                <w:szCs w:val="17"/>
              </w:rPr>
              <w:t xml:space="preserve">ВСТРЕЧА НОВОГО 2025 ГОДА*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i/>
                <w:i/>
                <w:iCs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i/>
                <w:iCs/>
                <w:color w:val="FF0000"/>
                <w:sz w:val="17"/>
                <w:szCs w:val="17"/>
              </w:rPr>
              <w:t xml:space="preserve">На набережной Ялты проходят новогодние гулянья; наличие новогоднего банкета в отеле, уточняется  </w:t>
            </w:r>
          </w:p>
        </w:tc>
      </w:tr>
      <w:tr>
        <w:trPr>
          <w:trHeight w:val="1281" w:hRule="atLeast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2-й день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01.01.25</w:t>
            </w:r>
          </w:p>
        </w:tc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color w:val="00008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Новогодний Крым (Партенит–Мыс Ай-Тодор-Ялта)</w:t>
            </w:r>
          </w:p>
          <w:p>
            <w:pPr>
              <w:pStyle w:val="Standard"/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☼ </w:t>
            </w:r>
            <w:r>
              <w:rPr>
                <w:rFonts w:cs="Calibri" w:ascii="Arial Narrow" w:hAnsi="Arial Narrow"/>
                <w:b/>
                <w:color w:val="000000"/>
                <w:sz w:val="20"/>
                <w:szCs w:val="20"/>
                <w:u w:val="single"/>
                <w:lang w:val="ru-RU"/>
              </w:rPr>
              <w:t>Завтрак в отеле</w:t>
            </w:r>
            <w:r>
              <w:rPr>
                <w:rFonts w:cs="Calibri" w:ascii="Arial Narrow" w:hAnsi="Arial Narrow"/>
                <w:b/>
                <w:color w:val="000000"/>
                <w:sz w:val="20"/>
                <w:szCs w:val="20"/>
                <w:lang w:val="ru-RU"/>
              </w:rPr>
              <w:t>; Переезд в п.Партенит</w:t>
            </w:r>
          </w:p>
          <w:p>
            <w:pPr>
              <w:pStyle w:val="Standard"/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cs="Calibri" w:ascii="Arial Narrow" w:hAnsi="Arial Narrow"/>
                <w:b/>
                <w:color w:val="000000"/>
                <w:sz w:val="20"/>
                <w:szCs w:val="20"/>
                <w:lang w:val="ru-RU"/>
              </w:rPr>
              <w:t xml:space="preserve">☼ </w:t>
            </w:r>
            <w:r>
              <w:rPr>
                <w:rFonts w:cs="Calibri" w:ascii="Arial Narrow" w:hAnsi="Arial Narrow"/>
                <w:b/>
                <w:color w:val="000000"/>
                <w:sz w:val="20"/>
                <w:szCs w:val="20"/>
                <w:lang w:val="ru-RU"/>
              </w:rPr>
              <w:t>Экскурсия в Парк садово–паркового искусства «Айвазовское»; Переезд в Ялту</w:t>
            </w:r>
          </w:p>
          <w:p>
            <w:pPr>
              <w:pStyle w:val="Normal"/>
              <w:spacing w:lineRule="auto" w:line="240" w:before="0" w:after="0"/>
              <w:rPr>
                <w:rFonts w:eastAsia="Andale Sans UI" w:cs="Calibri"/>
                <w:b/>
                <w:color w:val="000000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Calibri"/>
                <w:b/>
                <w:color w:val="000000"/>
                <w:kern w:val="2"/>
                <w:sz w:val="20"/>
                <w:szCs w:val="20"/>
                <w:lang w:eastAsia="ja-JP" w:bidi="fa-IR"/>
              </w:rPr>
              <w:t xml:space="preserve">☼ </w:t>
            </w:r>
            <w:r>
              <w:rPr>
                <w:rFonts w:eastAsia="Andale Sans UI" w:cs="Calibri"/>
                <w:b/>
                <w:color w:val="000000"/>
                <w:kern w:val="2"/>
                <w:sz w:val="20"/>
                <w:szCs w:val="20"/>
                <w:lang w:eastAsia="ja-JP" w:bidi="fa-IR"/>
              </w:rPr>
              <w:t>Свободное время для обеда (доп.плата) на набережной</w:t>
            </w:r>
          </w:p>
          <w:p>
            <w:pPr>
              <w:pStyle w:val="Standard"/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☼ </w:t>
            </w:r>
            <w:r>
              <w:rPr>
                <w:rFonts w:cs="Calibri" w:ascii="Arial Narrow" w:hAnsi="Arial Narrow"/>
                <w:b/>
                <w:color w:val="000000"/>
                <w:sz w:val="20"/>
                <w:szCs w:val="20"/>
                <w:lang w:val="ru-RU"/>
              </w:rPr>
              <w:t>Морское путешествие вдоль ЮБК к замку Ласточкино гнездо (при благоприятных погодных условиях)</w:t>
            </w:r>
          </w:p>
          <w:p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☼ </w:t>
            </w:r>
            <w:r>
              <w:rPr>
                <w:rFonts w:cs="Calibri" w:ascii="Arial Narrow" w:hAnsi="Arial Narrow"/>
                <w:b/>
                <w:color w:val="000000"/>
                <w:sz w:val="20"/>
                <w:szCs w:val="20"/>
                <w:lang w:val="ru-RU"/>
              </w:rPr>
              <w:t>Свободное время для ужина (доп.плата) и прогулки по праздничной набережной Ялты</w:t>
            </w:r>
          </w:p>
        </w:tc>
      </w:tr>
      <w:tr>
        <w:trPr>
          <w:trHeight w:val="1641" w:hRule="atLeast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3-й день</w:t>
            </w:r>
          </w:p>
          <w:p>
            <w:pPr>
              <w:pStyle w:val="Normal"/>
              <w:spacing w:before="0" w:after="200"/>
              <w:jc w:val="center"/>
              <w:rPr>
                <w:b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02.01.25</w:t>
            </w:r>
          </w:p>
        </w:tc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color w:val="00008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Эхо далёких эпох (Севастополь-Херсонес-Бахчисарай)</w:t>
            </w:r>
          </w:p>
          <w:p>
            <w:pPr>
              <w:pStyle w:val="Standard"/>
              <w:rPr>
                <w:rFonts w:ascii="Arial Narrow" w:hAnsi="Arial Narrow" w:eastAsia="Times New Roman" w:cs="Calibri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☼ </w:t>
            </w:r>
            <w:r>
              <w:rPr>
                <w:rFonts w:cs="Calibri" w:ascii="Arial Narrow" w:hAnsi="Arial Narrow"/>
                <w:b/>
                <w:color w:val="000000"/>
                <w:sz w:val="20"/>
                <w:szCs w:val="20"/>
                <w:u w:val="single"/>
                <w:lang w:val="ru-RU"/>
              </w:rPr>
              <w:t>Завтрак в отеле</w:t>
            </w:r>
            <w:r>
              <w:rPr>
                <w:rFonts w:cs="Calibri" w:ascii="Arial Narrow" w:hAnsi="Arial Narrow"/>
                <w:b/>
                <w:color w:val="000000"/>
                <w:sz w:val="20"/>
                <w:szCs w:val="20"/>
                <w:lang w:val="ru-RU"/>
              </w:rPr>
              <w:t xml:space="preserve">; </w:t>
            </w:r>
            <w:r>
              <w:rPr>
                <w:rFonts w:eastAsia="Times New Roman" w:cs="Calibri" w:ascii="Arial Narrow" w:hAnsi="Arial Narrow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Освобождение номеров; Переезд в Севастополь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☼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Обзорная пешеходная экскурсия по историческому центру Севастополя и его бульварам</w:t>
            </w:r>
          </w:p>
          <w:p>
            <w:pPr>
              <w:pStyle w:val="Normal"/>
              <w:spacing w:lineRule="auto" w:line="240" w:before="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☼ </w:t>
            </w:r>
            <w:r>
              <w:rPr>
                <w:b/>
                <w:color w:val="000000"/>
                <w:sz w:val="20"/>
                <w:szCs w:val="20"/>
              </w:rPr>
              <w:t xml:space="preserve">Экскурсия в </w:t>
            </w:r>
            <w:r>
              <w:rPr>
                <w:b/>
                <w:color w:val="FF0000"/>
                <w:sz w:val="20"/>
                <w:szCs w:val="20"/>
              </w:rPr>
              <w:t xml:space="preserve">Новый Херсонес; </w:t>
            </w:r>
            <w:r>
              <w:rPr>
                <w:b/>
                <w:color w:val="000000"/>
                <w:sz w:val="20"/>
                <w:szCs w:val="20"/>
              </w:rPr>
              <w:t>Переезд в Бахчисарай</w:t>
            </w:r>
          </w:p>
          <w:p>
            <w:pPr>
              <w:pStyle w:val="Normal"/>
              <w:spacing w:lineRule="auto" w:line="240" w:before="0" w:after="0"/>
              <w:rPr>
                <w:rFonts w:eastAsia="Andale Sans UI" w:cs="Calibri"/>
                <w:b/>
                <w:color w:val="000000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Calibri"/>
                <w:b/>
                <w:color w:val="000000"/>
                <w:kern w:val="2"/>
                <w:sz w:val="20"/>
                <w:szCs w:val="20"/>
                <w:lang w:eastAsia="ja-JP" w:bidi="fa-IR"/>
              </w:rPr>
              <w:t xml:space="preserve">☼ </w:t>
            </w:r>
            <w:r>
              <w:rPr>
                <w:rFonts w:eastAsia="Andale Sans UI" w:cs="Calibri"/>
                <w:b/>
                <w:color w:val="000000"/>
                <w:kern w:val="2"/>
                <w:sz w:val="20"/>
                <w:szCs w:val="20"/>
                <w:lang w:eastAsia="ja-JP" w:bidi="fa-IR"/>
              </w:rPr>
              <w:t>Обед в кафе с крымско-татарской национальной кухней (доп.плата)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☼ </w:t>
            </w:r>
            <w:r>
              <w:rPr>
                <w:b/>
                <w:color w:val="000000"/>
                <w:sz w:val="20"/>
                <w:szCs w:val="20"/>
              </w:rPr>
              <w:t xml:space="preserve">Экскурсия в </w:t>
            </w:r>
            <w:r>
              <w:rPr>
                <w:rFonts w:eastAsia="Andale Sans UI" w:cs="Calibri"/>
                <w:b/>
                <w:color w:val="000000"/>
                <w:kern w:val="2"/>
                <w:sz w:val="20"/>
                <w:szCs w:val="20"/>
                <w:lang w:eastAsia="ja-JP" w:bidi="fa-IR"/>
              </w:rPr>
              <w:t>Ханский дворец</w:t>
            </w:r>
          </w:p>
          <w:p>
            <w:pPr>
              <w:pStyle w:val="NoSpacing"/>
              <w:jc w:val="both"/>
              <w:rPr>
                <w:b/>
                <w:color w:val="000000"/>
              </w:rPr>
            </w:pPr>
            <w:r>
              <w:rPr>
                <w:rFonts w:cs="Calibri" w:ascii="Arial Narrow" w:hAnsi="Arial Narrow"/>
                <w:i w:val="false"/>
                <w:color w:val="000000"/>
                <w:sz w:val="22"/>
                <w:szCs w:val="22"/>
                <w:lang w:val="ru-RU"/>
              </w:rPr>
              <w:t>Отправление в Краснодар с отличным, приподнятым настроением. Прибытие ориентировочно после 24:00</w:t>
            </w:r>
          </w:p>
        </w:tc>
      </w:tr>
      <w:tr>
        <w:trPr>
          <w:trHeight w:val="127" w:hRule="atLeast"/>
        </w:trPr>
        <w:tc>
          <w:tcPr>
            <w:tcW w:w="10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ОПИСАНИЕ  ПОСЕЩАЕМЫХ  ОБЪЕКТОВ</w:t>
            </w:r>
          </w:p>
        </w:tc>
      </w:tr>
      <w:tr>
        <w:trPr>
          <w:trHeight w:val="264" w:hRule="atLeast"/>
        </w:trPr>
        <w:tc>
          <w:tcPr>
            <w:tcW w:w="10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iCs/>
                <w:sz w:val="18"/>
                <w:szCs w:val="18"/>
                <w:lang w:bidi="en-US"/>
              </w:rPr>
            </w:pPr>
            <w:r>
              <w:rPr>
                <w:b/>
                <w:iCs/>
                <w:sz w:val="18"/>
                <w:szCs w:val="18"/>
                <w:lang w:bidi="en-US"/>
              </w:rPr>
              <w:t xml:space="preserve">Воронцовский дворец и парк в Алупке. </w:t>
            </w:r>
            <w:r>
              <w:rPr>
                <w:iCs/>
                <w:sz w:val="18"/>
                <w:szCs w:val="18"/>
                <w:lang w:bidi="en-US"/>
              </w:rPr>
              <w:t xml:space="preserve">Дворец считается шедевром дворцово-паркового искусства. Вас ждёт знакомство с Воронцовским дворцом, который, потрясает архитектурным замыслом, соединяя в себе сдержанность Англии и роскошь Востока. В ходе экскурсии Вы познакомитесь с богатейшим внутренним убранством дворца, осмотрите зимний сад и южный фасад дворца, вход в который охраняют скульптуры львов знаменитого итальянского скульптора Джованно Бонани. Продолжением экскурсии станет прогулка по Алупкинскому парку. В этом творении человеческих рук и фантазии прижились сосны, кедры, платаны, пихты, магнолии, глицинии, олеандры… около двухсот видов растений. Гуляя по парку, Вы осмотрите цветники и фонтаны, солнечные поляны и укромные гроты, озера и водопады, малый и большой хаос.  </w:t>
            </w:r>
          </w:p>
        </w:tc>
      </w:tr>
      <w:tr>
        <w:trPr>
          <w:trHeight w:val="264" w:hRule="atLeast"/>
        </w:trPr>
        <w:tc>
          <w:tcPr>
            <w:tcW w:w="10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Дегустация «Классические вина Массандры». </w:t>
            </w:r>
            <w:r>
              <w:rPr>
                <w:iCs/>
                <w:sz w:val="18"/>
                <w:szCs w:val="18"/>
                <w:lang w:bidi="en-US"/>
              </w:rPr>
              <w:t>В конце 30-х годов XIX века на Крымском полуострове насчитывалось более двух миллионов виноградных лоз, началось широкое строительство винподвалов. Стараниями графа М. С. Воронцова к 40-м годам XIX века в Крыму насчитывалось уже 350 виноградарских хозяйств, а площади виноградников достигли 3,5 тысяч гектаров. Личный пример генерал-губернатора М. С. Воронцова, удачное сотрудничество с губернскими властями и правительством способствовали успешному становлению промышленного виноделия в Крыму. 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iCs/>
                <w:sz w:val="18"/>
                <w:szCs w:val="18"/>
                <w:lang w:bidi="en-US"/>
              </w:rPr>
            </w:pPr>
            <w:r>
              <w:rPr>
                <w:iCs/>
                <w:sz w:val="18"/>
                <w:szCs w:val="18"/>
                <w:lang w:bidi="en-US"/>
              </w:rPr>
              <w:t>Приглашаем гостей познакомиться с историей виноделия этого периода в один из первых винных подвалов князя М. С. Воронцова, возведенных в Крыму, который был построен близ Алупкинского дворца. Предприятие с момента основания выпускает вина всех типов: от сухих до ликерных, и сегодня это более 100 марок вин - каждое со своим характером и неповторимым вкусом. На дегустации представлено 9 образцов вин: сухие, крепкие, десертные.</w:t>
            </w:r>
          </w:p>
        </w:tc>
      </w:tr>
      <w:tr>
        <w:trPr>
          <w:trHeight w:val="264" w:hRule="atLeast"/>
        </w:trPr>
        <w:tc>
          <w:tcPr>
            <w:tcW w:w="10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</w:pPr>
            <w:r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  <w:t xml:space="preserve">Обзорная пешеходная прогулка по набережной Ялты. </w:t>
            </w:r>
            <w:r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 xml:space="preserve">Прогулка к набережной сопровождается осмотром Дворца Эмира Бухарского, Приморского парка, шхуны «Эспаньола», Пушкинской улицы. На набережной Вы осмотрите древнегреческое судно - кафе, памятники М.Горькому, А.Чехову, М.Пуговкину, Н.Краснову, Даме с собачкой, увидите сохранившиеся уникальные купальни Роффе. Вечером Набережная становится еще прекрасней, когда вокруг сверкает разноцветные огни, слышится музыка, веселье льется из ресторанчиков, проходят новогодние ярмарки.  </w:t>
            </w:r>
          </w:p>
        </w:tc>
      </w:tr>
      <w:tr>
        <w:trPr>
          <w:trHeight w:val="264" w:hRule="atLeast"/>
        </w:trPr>
        <w:tc>
          <w:tcPr>
            <w:tcW w:w="10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  <w:t xml:space="preserve">Парк садово-паркового искусства "Айвазовское". </w:t>
            </w:r>
            <w:r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Парк санатория "Айвазовское", который занимает территорию 25га.По стилю парк можно отнести к романтическому. Важную роль в формировании образа парка играют композиции, характерные для современной ландшафтной архитектуры. Это как бы иллюстрация уже известных в мире направлений и стилей садово-паркового искусства – пейзажный английский сад, итальянский сад, японский сад, террасный сад и др. Вы сможете увидеть более чем 300 видов деревьев и кустарников, которые образуют неповторимые композиции. Главная достопримечательность парка - роща маслины европейской, известная еще с середины 17 в.</w:t>
            </w:r>
          </w:p>
        </w:tc>
      </w:tr>
      <w:tr>
        <w:trPr>
          <w:trHeight w:val="264" w:hRule="atLeast"/>
        </w:trPr>
        <w:tc>
          <w:tcPr>
            <w:tcW w:w="10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</w:pPr>
            <w:r>
              <w:rPr>
                <w:b/>
                <w:iCs/>
                <w:sz w:val="18"/>
                <w:szCs w:val="18"/>
                <w:lang w:bidi="en-US"/>
              </w:rPr>
              <w:t>Морская экскурсия вдоль Южного Берега Крыма</w:t>
            </w:r>
            <w:r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  <w:t xml:space="preserve">. </w:t>
            </w:r>
            <w:r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На экскурсионном теплоходе вдоль Южного Берега Крыма, который особенно привлекателен со стороны моря отправляемся к Замку в миниатюре «Ласточкино гнездо». Вы увидите старинные дворцы и имения, роскошные парки, смотровые беседки, живописные скалы. Из окон теплохода полюбуетесь миниатюрным замком – Ласточкино гнездо, символом Южного Берега Крыма. Строение находится на отвесной скале и напоминает средневековый рыцарский замок в миниатюре.</w:t>
            </w:r>
          </w:p>
        </w:tc>
      </w:tr>
      <w:tr>
        <w:trPr>
          <w:trHeight w:val="264" w:hRule="atLeast"/>
        </w:trPr>
        <w:tc>
          <w:tcPr>
            <w:tcW w:w="10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rFonts w:ascii="Arial Narrow" w:hAnsi="Arial Narrow"/>
                <w:b/>
                <w:iCs/>
                <w:sz w:val="18"/>
                <w:szCs w:val="18"/>
                <w:lang w:eastAsia="en-US" w:bidi="en-US"/>
              </w:rPr>
            </w:pPr>
            <w:r>
              <w:rPr>
                <w:rFonts w:ascii="Arial Narrow" w:hAnsi="Arial Narrow"/>
                <w:b/>
                <w:iCs/>
                <w:sz w:val="18"/>
                <w:szCs w:val="18"/>
                <w:lang w:eastAsia="en-US" w:bidi="en-US"/>
              </w:rPr>
              <w:t xml:space="preserve">Обзорная пешеходная экскурсия по историческому центру Севастополя и его бульварам: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</w:pPr>
            <w:r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>- Графская пристань – один из символов Севастополя, главные морские ворота города.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</w:pPr>
            <w:r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 xml:space="preserve">- Площадь Нахимова – центральная площадь города, в центре, которой установлен памятник адмиралу П.С.Нахимову.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</w:pPr>
            <w:r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>- Мемориал героям обороны Севастополя 1941-1942гг с Вечным огнём и Постом №1 – святое для севастопольцев место.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</w:pPr>
            <w:r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 xml:space="preserve">- Памятник Затопленным кораблям – это настоящая эмблема города, часть официального герба.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</w:pPr>
            <w:r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>- Памятник Казарскому - первый памятник Севастополя.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</w:pPr>
            <w:r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 xml:space="preserve">- Приморский бульвар – главный туристический променад Севастополя.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</w:pPr>
            <w:r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>- Севастопольский морской Аквариум-музей.  И многое другое ждёт Вас на обзорной экскурсии по Севастополю.</w:t>
            </w:r>
          </w:p>
        </w:tc>
      </w:tr>
      <w:tr>
        <w:trPr>
          <w:trHeight w:val="592" w:hRule="atLeast"/>
        </w:trPr>
        <w:tc>
          <w:tcPr>
            <w:tcW w:w="10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bidi="en-US"/>
              </w:rPr>
              <w:t>Новый Херсонес</w:t>
            </w:r>
            <w:r>
              <w:rPr>
                <w:color w:val="000000"/>
                <w:sz w:val="18"/>
                <w:szCs w:val="18"/>
              </w:rPr>
              <w:t xml:space="preserve"> – это 22,4 га территории, 1 год и 8 месяцев время строительства комплекса, 6 495 877 найденных артефактов, 103 скульптурные композиции, 40 000 кустарников и деревьев.  </w:t>
            </w:r>
            <w:r>
              <w:rPr>
                <w:b/>
                <w:iCs/>
                <w:sz w:val="18"/>
                <w:szCs w:val="18"/>
                <w:lang w:bidi="en-US"/>
              </w:rPr>
              <w:t>На территории комплекса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Храм-памятник в честь святого равноапостольного князя Владимира, приведшего Русь ко Христу, крестившегося в этом самом месте в 988 году. Во Владимирском соборе провели комплексное восстановление убранства, отреставрировали фасад.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Бронзовый памятник святому равноапостольному князю Владимиру, украсивший соборную площадь, стал уникальным даром городу и монастырю и новым символом Херсонеса.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Музей Христианства - первый в своем роде музей в России и располагается вблизи места, где крестился князь Владимир.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Музей Крыма и Новороссии с иммерсивными залами, историческими реконструкциями и мультимедийными инсталляциями. Общая площадь здания — 12 000 кв. м. Его экспозиция познакомит вас с историей региона с древнейших времен до наших дней.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Новый Музей Античности и Византии, в котором также разместился Международный археологический центр, занимает почти 23 000 кв. м.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Грифон Арена — современный амфитеатр, рассчитанный на 1000 человек и предназначенный для спектаклей, концертов и др.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Храм-парк одновременно служит и храмом под открытым небом, и прекрасным парком с уникальными архитектурными композициями. Екатерининский парк и река Гераон - в результате новых раскопок была открыта подземная река Гераон, которая стараниями архитекторов и инженеров снова украшает херсонесский пейзаж.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Усадьба винодела - реконструкция древней усадьбы дает возможность познакомиться с архитектурой Херсонеса начала нашей эры. Это был богатый жилой дом с двором. Во дворе же была выстроена и винодельня, где виноград давили при помощи рычажного пресса.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Ремесленные мастерские - Древний Херсонес был городом искусных мастеров, которым посвящена реконструкция здания усадьбы с ремесленными мастерскими.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Монетный двор - в здании, построенном на основе реконструкции жилой античной усадьбы IV века до н. э., известной как «Монетный двор», вас ждет коллекция неповторимых подарков и сувениров. Свое название усадьба получила благодаря найденным во время раскопок заготовкам для монет. Они были обнаружены в подвале, где и занимались их чеканкой.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Античная усадьба - так могла выглядеть одна из усадеб сельскохозяйственной округи древнего Херсонеса. </w:t>
            </w:r>
          </w:p>
        </w:tc>
      </w:tr>
      <w:tr>
        <w:trPr>
          <w:trHeight w:val="592" w:hRule="atLeast"/>
        </w:trPr>
        <w:tc>
          <w:tcPr>
            <w:tcW w:w="10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iCs/>
                <w:sz w:val="18"/>
                <w:szCs w:val="18"/>
                <w:lang w:bidi="en-US"/>
              </w:rPr>
            </w:pPr>
            <w:r>
              <w:rPr>
                <w:b/>
                <w:iCs/>
                <w:sz w:val="18"/>
                <w:szCs w:val="18"/>
                <w:lang w:bidi="en-US"/>
              </w:rPr>
              <w:t xml:space="preserve">Ханский дворец в Бахчисарае. </w:t>
            </w:r>
            <w:r>
              <w:rPr>
                <w:iCs/>
                <w:sz w:val="18"/>
                <w:szCs w:val="18"/>
                <w:lang w:bidi="en-US"/>
              </w:rPr>
              <w:t>Бывшая резиденция крымских ханов. Памятник восточной архитектуры, истории и культуры общемирового значения, единственный в мире образец крымскотатарской дворцовой архитектуры. Во время экскурсии по нему будет возможность, познакомится со знаменитым фонтаном слёз, воспетым великим Пушкиным в поэме «Бахчисарайский фонтан», заглянуть в гарем хана, полюбоваться множеством внутренних двориков, беседок и фонтанов.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Arial"/>
          <w:color w:val="040D0A"/>
          <w:sz w:val="20"/>
          <w:szCs w:val="20"/>
          <w:shd w:fill="FFFFFF" w:val="clear"/>
        </w:rPr>
      </w:pPr>
      <w:r>
        <w:rPr>
          <w:rFonts w:cs="Arial"/>
          <w:b/>
          <w:bCs/>
          <w:color w:val="161616"/>
          <w:sz w:val="20"/>
          <w:szCs w:val="20"/>
          <w:shd w:fill="FFFFFF" w:val="clear"/>
        </w:rPr>
        <w:t>Проживание в отеле «Муссон» г.Ялта</w:t>
      </w:r>
      <w:r>
        <w:rPr>
          <w:rFonts w:cs="Arial"/>
          <w:color w:val="040D0A"/>
          <w:sz w:val="20"/>
          <w:szCs w:val="20"/>
          <w:shd w:fill="FFFFFF" w:val="clear"/>
        </w:rPr>
        <w:t> – расположен в одном из живописнейших уголков города Ялта в 600 м от Набережной. Территория гостиницы находится в небольшом парке с каскадным водопадом, фонтаном и экзотическими растениями. Это место для спокойного, созерцательного отдыха круглый год в пешей доступности от городской курортной инфраструктуры. В отеле имеется открытый бассейн (работает в летний сезон), библиотека, настольный теннис, лобби-бар, прачечная, сауна.</w:t>
      </w:r>
    </w:p>
    <w:p>
      <w:pPr>
        <w:pStyle w:val="Normal"/>
        <w:spacing w:lineRule="auto" w:line="240" w:before="0" w:after="0"/>
        <w:jc w:val="both"/>
        <w:rPr>
          <w:rFonts w:cs="Arial"/>
          <w:color w:val="040D0A"/>
          <w:sz w:val="20"/>
          <w:szCs w:val="20"/>
          <w:shd w:fill="FFFFFF" w:val="clear"/>
        </w:rPr>
      </w:pPr>
      <w:r>
        <w:rPr>
          <w:rFonts w:cs="Arial"/>
          <w:color w:val="040D0A"/>
          <w:sz w:val="20"/>
          <w:szCs w:val="20"/>
          <w:shd w:fill="FFFFFF" w:val="clear"/>
        </w:rPr>
        <w:t>В каждом номере есть санузел с душем, кондиционер, телевизор и кабельное телевидение, холодильник, wi-fi, фен, чайник и посуда.</w:t>
      </w:r>
    </w:p>
    <w:p>
      <w:pPr>
        <w:pStyle w:val="Normal"/>
        <w:spacing w:lineRule="auto" w:line="240" w:before="0" w:after="0"/>
        <w:jc w:val="both"/>
        <w:rPr>
          <w:rFonts w:cs="Arial"/>
          <w:color w:val="040D0A"/>
          <w:sz w:val="20"/>
          <w:szCs w:val="20"/>
          <w:shd w:fill="FFFFFF" w:val="clear"/>
        </w:rPr>
      </w:pPr>
      <w:r>
        <w:rPr>
          <w:rFonts w:cs="Arial"/>
          <w:color w:val="040D0A"/>
          <w:sz w:val="20"/>
          <w:szCs w:val="20"/>
          <w:shd w:fill="FFFFFF" w:val="clear"/>
        </w:rPr>
      </w:r>
    </w:p>
    <w:tbl>
      <w:tblPr>
        <w:tblW w:w="110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02"/>
        <w:gridCol w:w="63"/>
        <w:gridCol w:w="2625"/>
        <w:gridCol w:w="2693"/>
        <w:gridCol w:w="2268"/>
        <w:gridCol w:w="13"/>
      </w:tblGrid>
      <w:tr>
        <w:trPr>
          <w:trHeight w:val="509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cs="Arial CYR" w:ascii="Arial CYR" w:hAnsi="Arial CYR"/>
                <w:b/>
                <w:bCs/>
                <w:sz w:val="20"/>
                <w:szCs w:val="20"/>
              </w:rPr>
              <w:t>Отель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20"/>
                <w:szCs w:val="20"/>
              </w:rPr>
              <w:t>«Муссон» г.Ялта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>2-х местный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>Стандарт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 xml:space="preserve">Одноместный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38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 xml:space="preserve">Семейный трёхместный номер  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 xml:space="preserve">Стоимость с человека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bCs/>
                <w:color w:val="000000"/>
                <w:spacing w:val="7"/>
                <w:sz w:val="16"/>
                <w:szCs w:val="16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>в рублях за тур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Arial CYR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cs="Arial CYR"/>
                <w:b/>
                <w:bCs/>
                <w:color w:val="FF0000"/>
                <w:sz w:val="28"/>
                <w:szCs w:val="28"/>
                <w:lang w:eastAsia="ru-RU"/>
              </w:rPr>
              <w:t>20 000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Arial CYR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cs="Arial CYR"/>
                <w:b/>
                <w:bCs/>
                <w:color w:val="FF0000"/>
                <w:sz w:val="28"/>
                <w:szCs w:val="28"/>
                <w:lang w:eastAsia="ru-RU"/>
              </w:rPr>
              <w:t>24 500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Arial CYR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cs="Arial CYR"/>
                <w:b/>
                <w:bCs/>
                <w:color w:val="FF0000"/>
                <w:sz w:val="28"/>
                <w:szCs w:val="28"/>
                <w:lang w:eastAsia="ru-RU"/>
              </w:rPr>
              <w:t>под запрос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92" w:hRule="atLeast"/>
        </w:trPr>
        <w:tc>
          <w:tcPr>
            <w:tcW w:w="3465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b/>
                <w:i/>
                <w:i/>
                <w:iCs/>
                <w:color w:val="000000"/>
                <w:sz w:val="22"/>
                <w:szCs w:val="22"/>
                <w:lang w:bidi="en-US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bidi="en-US"/>
              </w:rPr>
            </w:r>
          </w:p>
          <w:p>
            <w:pPr>
              <w:pStyle w:val="Normal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b/>
                <w:i/>
                <w:i/>
                <w:iCs/>
                <w:color w:val="000000"/>
                <w:sz w:val="22"/>
                <w:szCs w:val="22"/>
                <w:lang w:bidi="en-US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bidi="en-US"/>
              </w:rPr>
              <w:t>В стоимость входит:</w:t>
            </w:r>
          </w:p>
          <w:p>
            <w:pPr>
              <w:pStyle w:val="NoSpacing"/>
              <w:rPr>
                <w:rFonts w:ascii="Arial Narrow" w:hAnsi="Arial Narrow" w:cs="Arial"/>
                <w:i w:val="false"/>
                <w:i w:val="false"/>
                <w:iCs w:val="false"/>
                <w:color w:val="000000"/>
                <w:lang w:val="ru-RU" w:bidi="ar-SA"/>
              </w:rPr>
            </w:pPr>
            <w:r>
              <w:rPr>
                <w:rFonts w:cs="Arial" w:ascii="Arial Narrow" w:hAnsi="Arial Narrow"/>
                <w:i w:val="false"/>
                <w:iCs w:val="false"/>
                <w:color w:val="000000"/>
                <w:lang w:val="ru-RU" w:bidi="ar-SA"/>
              </w:rPr>
              <w:t xml:space="preserve">☼ </w:t>
            </w:r>
            <w:r>
              <w:rPr>
                <w:rFonts w:cs="Arial" w:ascii="Arial Narrow" w:hAnsi="Arial Narrow"/>
                <w:i w:val="false"/>
                <w:iCs w:val="false"/>
                <w:color w:val="000000"/>
                <w:lang w:val="ru-RU" w:bidi="ar-SA"/>
              </w:rPr>
              <w:t>транспортное обслуживание</w:t>
            </w:r>
          </w:p>
          <w:p>
            <w:pPr>
              <w:pStyle w:val="Normal"/>
              <w:tabs>
                <w:tab w:val="clear" w:pos="708"/>
                <w:tab w:val="left" w:pos="945" w:leader="none"/>
              </w:tabs>
              <w:spacing w:lineRule="auto" w:line="240" w:before="0" w:after="0"/>
              <w:ind w:right="-108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☼ </w:t>
            </w:r>
            <w:r>
              <w:rPr>
                <w:rFonts w:cs="Arial"/>
                <w:color w:val="000000"/>
                <w:sz w:val="20"/>
                <w:szCs w:val="20"/>
              </w:rPr>
              <w:t>проживание в отеле</w:t>
            </w:r>
          </w:p>
          <w:p>
            <w:pPr>
              <w:pStyle w:val="Normal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☼ </w:t>
            </w:r>
            <w:r>
              <w:rPr>
                <w:rFonts w:cs="Arial"/>
                <w:color w:val="000000"/>
                <w:sz w:val="20"/>
                <w:szCs w:val="20"/>
              </w:rPr>
              <w:t>питание (3 завтрака)</w:t>
            </w:r>
          </w:p>
          <w:p>
            <w:pPr>
              <w:pStyle w:val="Normal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☼ </w:t>
            </w:r>
            <w:r>
              <w:rPr>
                <w:rFonts w:cs="Arial"/>
                <w:color w:val="000000"/>
                <w:sz w:val="20"/>
                <w:szCs w:val="20"/>
              </w:rPr>
              <w:t>экскурсионное обслуживание</w:t>
            </w:r>
          </w:p>
          <w:p>
            <w:pPr>
              <w:pStyle w:val="Normal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☼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страховка</w:t>
            </w:r>
          </w:p>
        </w:tc>
        <w:tc>
          <w:tcPr>
            <w:tcW w:w="7599" w:type="dxa"/>
            <w:gridSpan w:val="4"/>
            <w:tcBorders/>
          </w:tcPr>
          <w:p>
            <w:pPr>
              <w:pStyle w:val="Normal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b/>
                <w:i/>
                <w:i/>
                <w:iCs/>
                <w:color w:val="000000"/>
                <w:sz w:val="22"/>
                <w:szCs w:val="22"/>
                <w:lang w:bidi="en-US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bidi="en-US"/>
              </w:rPr>
            </w:r>
          </w:p>
          <w:p>
            <w:pPr>
              <w:pStyle w:val="Normal"/>
              <w:tabs>
                <w:tab w:val="clear" w:pos="708"/>
                <w:tab w:val="left" w:pos="945" w:leader="none"/>
              </w:tabs>
              <w:spacing w:lineRule="auto" w:line="240" w:before="0" w:after="0"/>
              <w:rPr>
                <w:b/>
                <w:i/>
                <w:i/>
                <w:iCs/>
                <w:color w:val="000000"/>
                <w:sz w:val="22"/>
                <w:szCs w:val="22"/>
                <w:lang w:bidi="en-US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bidi="en-US"/>
              </w:rPr>
              <w:t xml:space="preserve">Дополнительно оплачивается по желанию: </w:t>
            </w:r>
          </w:p>
          <w:tbl>
            <w:tblPr>
              <w:tblW w:w="736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3084"/>
              <w:gridCol w:w="992"/>
              <w:gridCol w:w="993"/>
              <w:gridCol w:w="1134"/>
              <w:gridCol w:w="1165"/>
            </w:tblGrid>
            <w:tr>
              <w:trPr>
                <w:trHeight w:val="224" w:hRule="atLeast"/>
              </w:trPr>
              <w:tc>
                <w:tcPr>
                  <w:tcW w:w="3084" w:type="dxa"/>
                  <w:tcBorders/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</w:tabs>
                    <w:spacing w:lineRule="auto" w:line="240" w:before="0" w:after="0"/>
                    <w:rPr>
                      <w:rFonts w:cs="Tahoma"/>
                      <w:sz w:val="18"/>
                      <w:szCs w:val="18"/>
                    </w:rPr>
                  </w:pPr>
                  <w:r>
                    <w:rPr>
                      <w:rFonts w:cs="Tahoma"/>
                      <w:b/>
                      <w:color w:val="000000"/>
                      <w:sz w:val="18"/>
                      <w:szCs w:val="18"/>
                    </w:rPr>
                    <w:t>Входные билеты:</w:t>
                  </w:r>
                  <w:r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/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Tahom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Tahoma"/>
                      <w:b/>
                      <w:color w:val="000000"/>
                      <w:sz w:val="18"/>
                      <w:szCs w:val="18"/>
                    </w:rPr>
                    <w:t>Взрослый</w:t>
                  </w:r>
                </w:p>
              </w:tc>
              <w:tc>
                <w:tcPr>
                  <w:tcW w:w="993" w:type="dxa"/>
                  <w:tcBorders/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Tahom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Tahoma"/>
                      <w:b/>
                      <w:color w:val="000000"/>
                      <w:sz w:val="18"/>
                      <w:szCs w:val="18"/>
                    </w:rPr>
                    <w:t>Детский</w:t>
                  </w:r>
                </w:p>
              </w:tc>
              <w:tc>
                <w:tcPr>
                  <w:tcW w:w="1134" w:type="dxa"/>
                  <w:tcBorders/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ind w:firstLine="13" w:left="-121"/>
                    <w:jc w:val="center"/>
                    <w:rPr>
                      <w:rFonts w:cs="Tahom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Tahoma"/>
                      <w:b/>
                      <w:color w:val="000000"/>
                      <w:sz w:val="18"/>
                      <w:szCs w:val="18"/>
                    </w:rPr>
                    <w:t>Пенсионный</w:t>
                  </w:r>
                </w:p>
              </w:tc>
              <w:tc>
                <w:tcPr>
                  <w:tcW w:w="1165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ind w:firstLine="13" w:left="-121"/>
                    <w:jc w:val="center"/>
                    <w:rPr>
                      <w:rFonts w:cs="Tahom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Tahoma"/>
                      <w:b/>
                      <w:color w:val="000000"/>
                      <w:sz w:val="18"/>
                      <w:szCs w:val="18"/>
                    </w:rPr>
                    <w:t>Студенческий</w:t>
                  </w:r>
                </w:p>
              </w:tc>
            </w:tr>
            <w:tr>
              <w:trPr>
                <w:trHeight w:val="69" w:hRule="atLeast"/>
              </w:trPr>
              <w:tc>
                <w:tcPr>
                  <w:tcW w:w="3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Воронцовский  дворец                   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</w:tr>
            <w:tr>
              <w:trPr>
                <w:trHeight w:val="69" w:hRule="atLeast"/>
              </w:trPr>
              <w:tc>
                <w:tcPr>
                  <w:tcW w:w="3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Дегустация вин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3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ind w:right="-108"/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ahoma"/>
                      <w:color w:val="000000"/>
                      <w:sz w:val="20"/>
                      <w:szCs w:val="20"/>
                    </w:rPr>
                    <w:t xml:space="preserve">Морская экскурсия вдоль ЮБК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ahoma"/>
                      <w:color w:val="000000"/>
                      <w:sz w:val="20"/>
                      <w:szCs w:val="20"/>
                    </w:rPr>
                    <w:t>1 200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ahoma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ahoma"/>
                      <w:color w:val="000000"/>
                      <w:sz w:val="20"/>
                      <w:szCs w:val="20"/>
                    </w:rPr>
                    <w:t>1 200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ahoma"/>
                      <w:color w:val="000000"/>
                      <w:sz w:val="20"/>
                      <w:szCs w:val="20"/>
                    </w:rPr>
                    <w:t>1 200</w:t>
                  </w:r>
                </w:p>
              </w:tc>
            </w:tr>
            <w:tr>
              <w:trPr>
                <w:trHeight w:val="69" w:hRule="atLeast"/>
              </w:trPr>
              <w:tc>
                <w:tcPr>
                  <w:tcW w:w="3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Парк «Айвазовское» в п.Партенит      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3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Новый Херсонес экскурсия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3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Ханский дворец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945" w:leader="none"/>
                      <w:tab w:val="left" w:pos="3990" w:leader="none"/>
                    </w:tabs>
                    <w:spacing w:lineRule="auto" w:line="240" w:before="0" w:after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180" w:leader="none"/>
                <w:tab w:val="left" w:pos="945" w:leader="none"/>
                <w:tab w:val="left" w:pos="3990" w:leader="none"/>
              </w:tabs>
              <w:spacing w:before="0" w:after="200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8"/>
          <w:tab w:val="left" w:pos="945" w:leader="none"/>
        </w:tabs>
        <w:spacing w:lineRule="auto" w:line="240" w:before="0" w:after="0"/>
        <w:rPr>
          <w:rFonts w:cs="Arial"/>
          <w:color w:val="000000"/>
          <w:sz w:val="20"/>
          <w:szCs w:val="20"/>
        </w:rPr>
      </w:pPr>
      <w:r>
        <w:rPr>
          <w:rFonts w:cs="Arial"/>
          <w:bCs/>
          <w:color w:val="000080"/>
          <w:spacing w:val="7"/>
          <w:sz w:val="20"/>
          <w:szCs w:val="20"/>
          <w:u w:val="single"/>
        </w:rPr>
        <w:t>Необходимые документы</w:t>
      </w:r>
      <w:r>
        <w:rPr>
          <w:rFonts w:cs="Tahoma"/>
          <w:b/>
          <w:color w:val="000000"/>
          <w:sz w:val="20"/>
          <w:szCs w:val="20"/>
        </w:rPr>
        <w:t xml:space="preserve">: </w:t>
      </w:r>
      <w:r>
        <w:rPr>
          <w:rFonts w:cs="Arial"/>
          <w:color w:val="000000"/>
          <w:sz w:val="20"/>
          <w:szCs w:val="20"/>
        </w:rPr>
        <w:t>- общегражданский российский паспорт; - Детям до 14 лет свидетельство о рождении; - Детям старше 14 лет паспорт; - Пенсионное или инвалидное удостоверение, студенческий билет, удостоверение ветерана или участника боевых действий;</w:t>
      </w:r>
    </w:p>
    <w:p>
      <w:pPr>
        <w:pStyle w:val="Normal"/>
        <w:tabs>
          <w:tab w:val="clear" w:pos="708"/>
          <w:tab w:val="left" w:pos="945" w:leader="none"/>
        </w:tabs>
        <w:spacing w:lineRule="auto" w:line="240" w:before="0" w:after="0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 xml:space="preserve">Рекомендуем иметь наличные деньги, удобную обувь и одежду, страховой медицинский полис. </w:t>
      </w:r>
    </w:p>
    <w:p>
      <w:pPr>
        <w:pStyle w:val="Normal"/>
        <w:tabs>
          <w:tab w:val="clear" w:pos="708"/>
          <w:tab w:val="left" w:pos="945" w:leader="none"/>
        </w:tabs>
        <w:spacing w:lineRule="auto" w:line="240" w:before="0" w:after="0"/>
        <w:jc w:val="center"/>
        <w:rPr>
          <w:rFonts w:ascii="Arial" w:hAnsi="Arial" w:cs="Arial"/>
          <w:b/>
          <w:i/>
          <w:i/>
          <w:iCs/>
          <w:color w:val="000000"/>
          <w:sz w:val="16"/>
          <w:szCs w:val="16"/>
        </w:rPr>
      </w:pPr>
      <w:r>
        <w:rPr>
          <w:rFonts w:cs="Arial" w:ascii="Arial" w:hAnsi="Arial"/>
          <w:b/>
          <w:i/>
          <w:iCs/>
          <w:color w:val="000000"/>
          <w:sz w:val="16"/>
          <w:szCs w:val="16"/>
        </w:rPr>
      </w:r>
    </w:p>
    <w:p>
      <w:pPr>
        <w:pStyle w:val="Normal"/>
        <w:tabs>
          <w:tab w:val="clear" w:pos="708"/>
          <w:tab w:val="left" w:pos="945" w:leader="none"/>
        </w:tabs>
        <w:spacing w:lineRule="auto" w:line="240" w:before="0" w:after="0"/>
        <w:jc w:val="center"/>
        <w:rPr>
          <w:rFonts w:ascii="Arial" w:hAnsi="Arial" w:cs="Arial"/>
          <w:b/>
          <w:i/>
          <w:i/>
          <w:iCs/>
          <w:color w:val="000000"/>
          <w:sz w:val="16"/>
          <w:szCs w:val="16"/>
        </w:rPr>
      </w:pPr>
      <w:r>
        <w:rPr>
          <w:rFonts w:cs="Arial" w:ascii="Arial" w:hAnsi="Arial"/>
          <w:b/>
          <w:i/>
          <w:iCs/>
          <w:color w:val="000000"/>
          <w:sz w:val="16"/>
          <w:szCs w:val="16"/>
        </w:rPr>
        <w:t xml:space="preserve">Фирма оставляет за собой право на внесение изменений в порядок посещения экскурсионных объектов </w:t>
      </w:r>
    </w:p>
    <w:p>
      <w:pPr>
        <w:pStyle w:val="Normal"/>
        <w:tabs>
          <w:tab w:val="clear" w:pos="708"/>
          <w:tab w:val="left" w:pos="945" w:leader="none"/>
        </w:tabs>
        <w:spacing w:lineRule="auto" w:line="240" w:before="0" w:after="0"/>
        <w:jc w:val="center"/>
        <w:rPr>
          <w:rFonts w:ascii="Arial" w:hAnsi="Arial" w:cs="Arial"/>
          <w:b/>
          <w:i/>
          <w:i/>
          <w:iCs/>
          <w:color w:val="000000"/>
          <w:sz w:val="16"/>
          <w:szCs w:val="16"/>
        </w:rPr>
      </w:pPr>
      <w:r>
        <w:rPr>
          <w:rFonts w:cs="Arial" w:ascii="Arial" w:hAnsi="Arial"/>
          <w:b/>
          <w:i/>
          <w:iCs/>
          <w:color w:val="000000"/>
          <w:sz w:val="16"/>
          <w:szCs w:val="16"/>
        </w:rPr>
        <w:t xml:space="preserve">или замену экскурсий на равнозначные, сохраняя программу в целом. </w:t>
      </w:r>
    </w:p>
    <w:p>
      <w:pPr>
        <w:pStyle w:val="Normal"/>
        <w:tabs>
          <w:tab w:val="clear" w:pos="708"/>
          <w:tab w:val="left" w:pos="945" w:leader="none"/>
        </w:tabs>
        <w:spacing w:lineRule="auto" w:line="240" w:before="0" w:after="0"/>
        <w:jc w:val="center"/>
        <w:rPr>
          <w:rFonts w:ascii="Arial" w:hAnsi="Arial" w:cs="Arial"/>
          <w:b/>
          <w:i/>
          <w:i/>
          <w:iCs/>
          <w:color w:val="000000"/>
          <w:sz w:val="16"/>
          <w:szCs w:val="16"/>
        </w:rPr>
      </w:pPr>
      <w:r>
        <w:rPr>
          <w:rFonts w:cs="Arial" w:ascii="Arial" w:hAnsi="Arial"/>
          <w:b/>
          <w:i/>
          <w:iCs/>
          <w:color w:val="000000"/>
          <w:sz w:val="16"/>
          <w:szCs w:val="16"/>
        </w:rPr>
        <w:t>Фирма не несет ответственность за изменения стоимости входных билетов в объектах по маршруту!</w:t>
      </w:r>
    </w:p>
    <w:p>
      <w:pPr>
        <w:pStyle w:val="Normal"/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454" w:right="454" w:gutter="0" w:header="0" w:top="993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 Narrow">
    <w:charset w:val="cc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Arial CYR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6"/>
        <w:szCs w:val="16"/>
      </w:rPr>
    </w:pPr>
    <w:r>
      <w:rPr/>
    </w:r>
  </w:p>
  <w:p>
    <w:pPr>
      <w:pStyle w:val="Footer"/>
      <w:rPr>
        <w:sz w:val="16"/>
        <w:szCs w:val="16"/>
      </w:rPr>
    </w:pPr>
    <w:r>
      <w:rPr>
        <w:sz w:val="16"/>
        <w:szCs w:val="16"/>
      </w:rPr>
    </w:r>
  </w:p>
  <w:p>
    <w:pPr>
      <w:pStyle w:val="Footer"/>
      <w:tabs>
        <w:tab w:val="clear" w:pos="4677"/>
        <w:tab w:val="clear" w:pos="9355"/>
        <w:tab w:val="center" w:pos="0" w:leader="none"/>
        <w:tab w:val="right" w:pos="11057" w:leader="none"/>
      </w:tabs>
      <w:jc w:val="center"/>
      <w:rPr>
        <w:sz w:val="10"/>
        <w:szCs w:val="10"/>
      </w:rPr>
    </w:pPr>
    <w:r>
      <w:rPr>
        <w:sz w:val="10"/>
        <w:szCs w:val="1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6"/>
        <w:szCs w:val="16"/>
      </w:rPr>
    </w:pPr>
    <w:r>
      <w:rPr/>
    </w:r>
  </w:p>
  <w:p>
    <w:pPr>
      <w:pStyle w:val="Footer"/>
      <w:rPr>
        <w:sz w:val="16"/>
        <w:szCs w:val="16"/>
      </w:rPr>
    </w:pPr>
    <w:r>
      <w:rPr>
        <w:sz w:val="16"/>
        <w:szCs w:val="16"/>
      </w:rPr>
    </w:r>
  </w:p>
  <w:p>
    <w:pPr>
      <w:pStyle w:val="Footer"/>
      <w:tabs>
        <w:tab w:val="clear" w:pos="4677"/>
        <w:tab w:val="clear" w:pos="9355"/>
        <w:tab w:val="center" w:pos="0" w:leader="none"/>
        <w:tab w:val="right" w:pos="11057" w:leader="none"/>
      </w:tabs>
      <w:jc w:val="center"/>
      <w:rPr>
        <w:sz w:val="10"/>
        <w:szCs w:val="10"/>
      </w:rPr>
    </w:pPr>
    <w:r>
      <w:rPr>
        <w:sz w:val="10"/>
        <w:szCs w:val="1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3870" w:leader="none"/>
      </w:tabs>
      <w:spacing w:lineRule="auto" w:line="240" w:before="0" w:after="0"/>
      <w:jc w:val="right"/>
      <w:rPr/>
    </w:pPr>
    <w:r>
      <w:rPr>
        <w:sz w:val="36"/>
        <w:szCs w:val="36"/>
      </w:rPr>
      <w:t xml:space="preserve">   </w:t>
    </w:r>
    <w:r>
      <w:rPr/>
      <w:t xml:space="preserve">    </w:t>
    </w:r>
  </w:p>
  <w:p>
    <w:pPr>
      <w:pStyle w:val="Normal"/>
      <w:tabs>
        <w:tab w:val="clear" w:pos="708"/>
        <w:tab w:val="left" w:pos="3870" w:leader="none"/>
      </w:tabs>
      <w:spacing w:lineRule="auto" w:line="240" w:before="0" w:after="0"/>
      <w:jc w:val="right"/>
      <w:rPr>
        <w:rFonts w:eastAsia="Adobe Gothic Std B"/>
        <w:b/>
        <w:color w:val="984806"/>
        <w:sz w:val="28"/>
        <w:szCs w:val="28"/>
      </w:rPr>
    </w:pPr>
    <w:r>
      <w:rPr/>
      <w:t xml:space="preserve"> </w:t>
    </w:r>
    <w:r>
      <w:rPr>
        <w:color w:val="31849B"/>
      </w:rPr>
      <w:t xml:space="preserve">  </w:t>
    </w:r>
    <w:r>
      <w:rPr>
        <w:rFonts w:eastAsia="Adobe Gothic Std B"/>
        <w:b/>
        <w:color w:val="008000"/>
        <w:sz w:val="32"/>
        <w:szCs w:val="32"/>
      </w:rPr>
      <w:t xml:space="preserve"> </w:t>
    </w:r>
    <w:r>
      <w:rPr>
        <w:rFonts w:eastAsia="Adobe Gothic Std B"/>
        <w:b/>
        <w:color w:val="984806"/>
        <w:sz w:val="28"/>
        <w:szCs w:val="28"/>
      </w:rPr>
      <w:t>Ялта-Алупка-Партенит-Мыс Ай-Тодор-</w:t>
    </w:r>
  </w:p>
  <w:p>
    <w:pPr>
      <w:pStyle w:val="Normal"/>
      <w:tabs>
        <w:tab w:val="clear" w:pos="708"/>
        <w:tab w:val="left" w:pos="3870" w:leader="none"/>
      </w:tabs>
      <w:spacing w:lineRule="auto" w:line="240" w:before="0" w:after="0"/>
      <w:jc w:val="right"/>
      <w:rPr>
        <w:rFonts w:eastAsia="Adobe Gothic Std B"/>
        <w:b/>
        <w:color w:val="984806"/>
        <w:sz w:val="28"/>
        <w:szCs w:val="28"/>
      </w:rPr>
    </w:pPr>
    <w:r>
      <w:rPr>
        <w:rFonts w:eastAsia="Adobe Gothic Std B"/>
        <w:b/>
        <w:color w:val="984806"/>
        <w:sz w:val="28"/>
        <w:szCs w:val="28"/>
      </w:rPr>
      <w:t xml:space="preserve">Севастополь-Новый Херсонес-Бахчисарай </w:t>
    </w:r>
  </w:p>
  <w:p>
    <w:pPr>
      <w:pStyle w:val="Header"/>
      <w:tabs>
        <w:tab w:val="clear" w:pos="4677"/>
        <w:tab w:val="clear" w:pos="9355"/>
        <w:tab w:val="left" w:pos="4920" w:leader="none"/>
        <w:tab w:val="right" w:pos="10998" w:leader="none"/>
      </w:tabs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3870" w:leader="none"/>
      </w:tabs>
      <w:spacing w:lineRule="auto" w:line="240" w:before="0" w:after="0"/>
      <w:jc w:val="right"/>
      <w:rPr/>
    </w:pPr>
    <w:r>
      <w:rPr>
        <w:sz w:val="36"/>
        <w:szCs w:val="36"/>
      </w:rPr>
      <w:t xml:space="preserve">   </w:t>
    </w:r>
    <w:r>
      <w:rPr/>
      <w:t xml:space="preserve">    </w:t>
    </w:r>
  </w:p>
  <w:p>
    <w:pPr>
      <w:pStyle w:val="Normal"/>
      <w:tabs>
        <w:tab w:val="clear" w:pos="708"/>
        <w:tab w:val="left" w:pos="3870" w:leader="none"/>
      </w:tabs>
      <w:spacing w:lineRule="auto" w:line="240" w:before="0" w:after="0"/>
      <w:jc w:val="right"/>
      <w:rPr>
        <w:rFonts w:eastAsia="Adobe Gothic Std B"/>
        <w:b/>
        <w:color w:val="984806"/>
        <w:sz w:val="28"/>
        <w:szCs w:val="28"/>
      </w:rPr>
    </w:pPr>
    <w:r>
      <w:rPr/>
      <w:t xml:space="preserve"> </w:t>
    </w:r>
    <w:r>
      <w:rPr>
        <w:color w:val="31849B"/>
      </w:rPr>
      <w:t xml:space="preserve">  </w:t>
    </w:r>
    <w:r>
      <w:rPr>
        <w:rFonts w:eastAsia="Adobe Gothic Std B"/>
        <w:b/>
        <w:color w:val="008000"/>
        <w:sz w:val="32"/>
        <w:szCs w:val="32"/>
      </w:rPr>
      <w:t xml:space="preserve"> </w:t>
    </w:r>
    <w:r>
      <w:rPr>
        <w:rFonts w:eastAsia="Adobe Gothic Std B"/>
        <w:b/>
        <w:color w:val="984806"/>
        <w:sz w:val="28"/>
        <w:szCs w:val="28"/>
      </w:rPr>
      <w:t>Ялта-Алупка-Партенит-Мыс Ай-Тодор-</w:t>
    </w:r>
  </w:p>
  <w:p>
    <w:pPr>
      <w:pStyle w:val="Normal"/>
      <w:tabs>
        <w:tab w:val="clear" w:pos="708"/>
        <w:tab w:val="left" w:pos="3870" w:leader="none"/>
      </w:tabs>
      <w:spacing w:lineRule="auto" w:line="240" w:before="0" w:after="0"/>
      <w:jc w:val="right"/>
      <w:rPr>
        <w:rFonts w:eastAsia="Adobe Gothic Std B"/>
        <w:b/>
        <w:color w:val="984806"/>
        <w:sz w:val="28"/>
        <w:szCs w:val="28"/>
      </w:rPr>
    </w:pPr>
    <w:r>
      <w:rPr>
        <w:rFonts w:eastAsia="Adobe Gothic Std B"/>
        <w:b/>
        <w:color w:val="984806"/>
        <w:sz w:val="28"/>
        <w:szCs w:val="28"/>
      </w:rPr>
      <w:t xml:space="preserve">Севастополь-Новый Херсонес-Бахчисарай </w:t>
    </w:r>
  </w:p>
  <w:p>
    <w:pPr>
      <w:pStyle w:val="Header"/>
      <w:tabs>
        <w:tab w:val="clear" w:pos="4677"/>
        <w:tab w:val="clear" w:pos="9355"/>
        <w:tab w:val="left" w:pos="4920" w:leader="none"/>
        <w:tab w:val="right" w:pos="10998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f587e"/>
    <w:pPr>
      <w:widowControl/>
      <w:suppressAutoHyphens w:val="true"/>
      <w:bidi w:val="0"/>
      <w:spacing w:lineRule="auto" w:line="276" w:before="0" w:after="200"/>
      <w:jc w:val="left"/>
    </w:pPr>
    <w:rPr>
      <w:rFonts w:ascii="Arial Narrow" w:hAnsi="Arial Narrow" w:eastAsia="Times New Roman" w:cs="Times New Roman"/>
      <w:color w:val="auto"/>
      <w:kern w:val="0"/>
      <w:sz w:val="24"/>
      <w:szCs w:val="24"/>
      <w:lang w:eastAsia="en-US" w:val="ru-RU" w:bidi="ar-SA"/>
    </w:rPr>
  </w:style>
  <w:style w:type="paragraph" w:styleId="Heading1">
    <w:name w:val="heading 1"/>
    <w:basedOn w:val="Normal"/>
    <w:link w:val="1"/>
    <w:uiPriority w:val="9"/>
    <w:qFormat/>
    <w:locked/>
    <w:rsid w:val="00ab47ca"/>
    <w:pPr>
      <w:spacing w:lineRule="auto" w:line="240"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paragraph" w:styleId="Heading2">
    <w:name w:val="heading 2"/>
    <w:basedOn w:val="Normal"/>
    <w:link w:val="2"/>
    <w:uiPriority w:val="9"/>
    <w:qFormat/>
    <w:locked/>
    <w:rsid w:val="00ab47ca"/>
    <w:pPr>
      <w:spacing w:lineRule="auto" w:line="240" w:beforeAutospacing="1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3"/>
    <w:qFormat/>
    <w:locked/>
    <w:rsid w:val="00b1126f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qFormat/>
    <w:locked/>
    <w:rsid w:val="007c1a1d"/>
    <w:rPr>
      <w:rFonts w:cs="Times New Roman"/>
    </w:rPr>
  </w:style>
  <w:style w:type="character" w:styleId="Style12" w:customStyle="1">
    <w:name w:val="Нижний колонтитул Знак"/>
    <w:uiPriority w:val="99"/>
    <w:qFormat/>
    <w:locked/>
    <w:rsid w:val="007c1a1d"/>
    <w:rPr>
      <w:rFonts w:cs="Times New Roman"/>
    </w:rPr>
  </w:style>
  <w:style w:type="character" w:styleId="Style13" w:customStyle="1">
    <w:name w:val="Текст выноски Знак"/>
    <w:link w:val="BalloonText"/>
    <w:semiHidden/>
    <w:qFormat/>
    <w:locked/>
    <w:rsid w:val="007c1a1d"/>
    <w:rPr>
      <w:rFonts w:ascii="Tahoma" w:hAnsi="Tahoma" w:cs="Tahoma"/>
      <w:sz w:val="16"/>
      <w:szCs w:val="16"/>
    </w:rPr>
  </w:style>
  <w:style w:type="character" w:styleId="NoSpacingChar" w:customStyle="1">
    <w:name w:val="No Spacing Char"/>
    <w:link w:val="11"/>
    <w:qFormat/>
    <w:locked/>
    <w:rsid w:val="007c1a1d"/>
    <w:rPr>
      <w:sz w:val="22"/>
      <w:szCs w:val="22"/>
      <w:lang w:val="ru-RU" w:eastAsia="en-US" w:bidi="ar-SA"/>
    </w:rPr>
  </w:style>
  <w:style w:type="character" w:styleId="Strong">
    <w:name w:val="Strong"/>
    <w:uiPriority w:val="22"/>
    <w:qFormat/>
    <w:locked/>
    <w:rsid w:val="000b29ff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0b29ff"/>
    <w:rPr/>
  </w:style>
  <w:style w:type="character" w:styleId="Style14" w:customStyle="1">
    <w:name w:val="Без интервала Знак"/>
    <w:link w:val="NoSpacing"/>
    <w:uiPriority w:val="1"/>
    <w:qFormat/>
    <w:rsid w:val="00b8294c"/>
    <w:rPr>
      <w:rFonts w:ascii="Calibri" w:hAnsi="Calibri" w:eastAsia="Times New Roman" w:cs="Times New Roman"/>
      <w:i/>
      <w:iCs/>
      <w:lang w:val="en-US" w:eastAsia="en-US" w:bidi="en-US"/>
    </w:rPr>
  </w:style>
  <w:style w:type="character" w:styleId="1" w:customStyle="1">
    <w:name w:val="Заголовок 1 Знак"/>
    <w:uiPriority w:val="9"/>
    <w:qFormat/>
    <w:rsid w:val="00ab47ca"/>
    <w:rPr>
      <w:rFonts w:ascii="Times New Roman" w:hAnsi="Times New Roman" w:eastAsia="Times New Roman"/>
      <w:b/>
      <w:bCs/>
      <w:kern w:val="2"/>
      <w:sz w:val="48"/>
      <w:szCs w:val="48"/>
    </w:rPr>
  </w:style>
  <w:style w:type="character" w:styleId="2" w:customStyle="1">
    <w:name w:val="Заголовок 2 Знак"/>
    <w:uiPriority w:val="9"/>
    <w:qFormat/>
    <w:rsid w:val="00ab47ca"/>
    <w:rPr>
      <w:rFonts w:ascii="Times New Roman" w:hAnsi="Times New Roman" w:eastAsia="Times New Roman"/>
      <w:b/>
      <w:bCs/>
      <w:sz w:val="36"/>
      <w:szCs w:val="36"/>
    </w:rPr>
  </w:style>
  <w:style w:type="character" w:styleId="anim-to" w:customStyle="1">
    <w:name w:val="anim-to"/>
    <w:basedOn w:val="DefaultParagraphFont"/>
    <w:qFormat/>
    <w:rsid w:val="00ab47ca"/>
    <w:rPr/>
  </w:style>
  <w:style w:type="character" w:styleId="InternetLink">
    <w:name w:val="Internet Link"/>
    <w:uiPriority w:val="99"/>
    <w:unhideWhenUsed/>
    <w:qFormat/>
    <w:rsid w:val="00477331"/>
    <w:rPr>
      <w:color w:val="0000FF"/>
      <w:u w:val="single"/>
    </w:rPr>
  </w:style>
  <w:style w:type="character" w:styleId="21" w:customStyle="1">
    <w:name w:val="Знак Знак2"/>
    <w:basedOn w:val="DefaultParagraphFont"/>
    <w:qFormat/>
    <w:rsid w:val="00565639"/>
    <w:rPr/>
  </w:style>
  <w:style w:type="character" w:styleId="3" w:customStyle="1">
    <w:name w:val="Заголовок 3 Знак"/>
    <w:qFormat/>
    <w:rsid w:val="00b1126f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copyright-span" w:customStyle="1">
    <w:name w:val="copyright-span"/>
    <w:basedOn w:val="DefaultParagraphFont"/>
    <w:qFormat/>
    <w:rsid w:val="003c1172"/>
    <w:rPr/>
  </w:style>
  <w:style w:type="character" w:styleId="Emphasis">
    <w:name w:val="Emphasis"/>
    <w:basedOn w:val="DefaultParagraphFont"/>
    <w:uiPriority w:val="20"/>
    <w:qFormat/>
    <w:locked/>
    <w:rsid w:val="00a87d12"/>
    <w:rPr>
      <w:i/>
      <w:i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1"/>
    <w:rsid w:val="007c1a1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/>
      <w:sz w:val="20"/>
      <w:szCs w:val="20"/>
    </w:rPr>
  </w:style>
  <w:style w:type="paragraph" w:styleId="Footer">
    <w:name w:val="footer"/>
    <w:basedOn w:val="Normal"/>
    <w:link w:val="Style12"/>
    <w:uiPriority w:val="99"/>
    <w:rsid w:val="007c1a1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/>
      <w:sz w:val="20"/>
      <w:szCs w:val="20"/>
    </w:rPr>
  </w:style>
  <w:style w:type="paragraph" w:styleId="BalloonText">
    <w:name w:val="Balloon Text"/>
    <w:basedOn w:val="Normal"/>
    <w:link w:val="Style13"/>
    <w:semiHidden/>
    <w:qFormat/>
    <w:rsid w:val="007c1a1d"/>
    <w:pPr>
      <w:spacing w:lineRule="auto" w:line="240" w:before="0" w:after="0"/>
    </w:pPr>
    <w:rPr>
      <w:rFonts w:ascii="Tahoma" w:hAnsi="Tahoma" w:eastAsia="Calibri"/>
      <w:sz w:val="16"/>
      <w:szCs w:val="16"/>
    </w:rPr>
  </w:style>
  <w:style w:type="paragraph" w:styleId="11" w:customStyle="1">
    <w:name w:val="Без интервала1"/>
    <w:link w:val="NoSpacingChar"/>
    <w:qFormat/>
    <w:rsid w:val="007c1a1d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12" w:customStyle="1">
    <w:name w:val="Абзац списка1"/>
    <w:basedOn w:val="Normal"/>
    <w:qFormat/>
    <w:rsid w:val="006c6c22"/>
    <w:pPr>
      <w:ind w:left="720"/>
    </w:pPr>
    <w:rPr>
      <w:rFonts w:ascii="Calibri" w:hAnsi="Calibri"/>
      <w:sz w:val="22"/>
      <w:szCs w:val="22"/>
    </w:rPr>
  </w:style>
  <w:style w:type="paragraph" w:styleId="Style17" w:customStyle="1">
    <w:name w:val="Обычный (Интернет)"/>
    <w:basedOn w:val="Normal"/>
    <w:uiPriority w:val="99"/>
    <w:qFormat/>
    <w:rsid w:val="000b29ff"/>
    <w:pPr>
      <w:spacing w:lineRule="auto" w:line="240" w:beforeAutospacing="1" w:afterAutospacing="1"/>
    </w:pPr>
    <w:rPr>
      <w:rFonts w:ascii="Times New Roman" w:hAnsi="Times New Roman"/>
      <w:lang w:eastAsia="ru-RU"/>
    </w:rPr>
  </w:style>
  <w:style w:type="paragraph" w:styleId="NoSpacing">
    <w:name w:val="No Spacing"/>
    <w:basedOn w:val="Normal"/>
    <w:link w:val="Style14"/>
    <w:uiPriority w:val="1"/>
    <w:qFormat/>
    <w:rsid w:val="00b8294c"/>
    <w:pPr>
      <w:spacing w:lineRule="auto" w:line="240" w:before="0" w:after="0"/>
    </w:pPr>
    <w:rPr>
      <w:rFonts w:ascii="Calibri" w:hAnsi="Calibri"/>
      <w:i/>
      <w:iCs/>
      <w:sz w:val="20"/>
      <w:szCs w:val="20"/>
      <w:lang w:val="en-US" w:bidi="en-US"/>
    </w:rPr>
  </w:style>
  <w:style w:type="paragraph" w:styleId="ConsPlusNormal" w:customStyle="1">
    <w:name w:val="ConsPlusNormal"/>
    <w:qFormat/>
    <w:rsid w:val="00d620a2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andard" w:customStyle="1">
    <w:name w:val="Standard"/>
    <w:qFormat/>
    <w:rsid w:val="00277f46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NormalWeb">
    <w:name w:val="Normal (Web)"/>
    <w:basedOn w:val="Normal"/>
    <w:uiPriority w:val="99"/>
    <w:qFormat/>
    <w:rsid w:val="00b264c1"/>
    <w:pPr>
      <w:spacing w:lineRule="auto" w:line="240" w:beforeAutospacing="1" w:afterAutospacing="1"/>
    </w:pPr>
    <w:rPr>
      <w:rFonts w:ascii="Times New Roman" w:hAnsi="Times New Roman"/>
      <w:lang w:eastAsia="ru-RU"/>
    </w:rPr>
  </w:style>
  <w:style w:type="paragraph" w:styleId="ListParagraph">
    <w:name w:val="List Paragraph"/>
    <w:basedOn w:val="Normal"/>
    <w:uiPriority w:val="34"/>
    <w:qFormat/>
    <w:rsid w:val="00224526"/>
    <w:pPr>
      <w:spacing w:before="0" w:after="200"/>
      <w:ind w:left="720"/>
      <w:contextualSpacing/>
    </w:pPr>
    <w:rPr/>
  </w:style>
  <w:style w:type="paragraph" w:styleId="Style18">
    <w:name w:val="Содержимое врезки"/>
    <w:basedOn w:val="Normal"/>
    <w:qFormat/>
    <w:pPr/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422a9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LibreOffice/24.8.2.1$Windows_X86_64 LibreOffice_project/0f794b6e29741098670a3b95d60478a65d05ef13</Application>
  <AppVersion>15.0000</AppVersion>
  <Pages>2</Pages>
  <Words>1498</Words>
  <Characters>9801</Characters>
  <CharactersWithSpaces>11289</CharactersWithSpaces>
  <Paragraphs>128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2024-10-09T08:43:00Z</dcterms:created>
  <dc:creator>НАСТЯ-ЕОС</dc:creator>
  <dc:description/>
  <dc:language>ru-RU</dc:language>
  <cp:lastModifiedBy/>
  <cp:lastPrinted>2024-10-04T12:16:00Z</cp:lastPrinted>
  <dcterms:modified xsi:type="dcterms:W3CDTF">2024-10-15T23:49:03Z</dcterms:modified>
  <cp:revision>4</cp:revision>
  <dc:subject/>
  <dc:title>Продолжительность тура:  4 дня/ 3 ночи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