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-360" w:leader="none"/>
        </w:tabs>
        <w:ind w:left="-360" w:right="-808" w:hanging="720"/>
        <w:rPr/>
      </w:pPr>
      <w:r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zxx" w:eastAsia="zxx" w:bidi="ar-SA"/>
        </w:rPr>
        <w:t xml:space="preserve">     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-47625</wp:posOffset>
            </wp:positionH>
            <wp:positionV relativeFrom="paragraph">
              <wp:posOffset>30480</wp:posOffset>
            </wp:positionV>
            <wp:extent cx="1618615" cy="1066165"/>
            <wp:effectExtent l="0" t="0" r="0" b="0"/>
            <wp:wrapNone/>
            <wp:docPr id="1" name="Изображение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4" t="-398" r="-264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color w:val="000000"/>
          <w:sz w:val="26"/>
          <w:szCs w:val="26"/>
          <w:lang w:val="zxx" w:eastAsia="zxx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zxx" w:eastAsia="zxx" w:bidi="ar-SA"/>
        </w:rPr>
        <w:t xml:space="preserve">                                                                     </w:t>
      </w:r>
      <w:r>
        <w:rPr>
          <w:rFonts w:eastAsia="Arial" w:cs="Arial"/>
          <w:b/>
          <w:bCs/>
          <w:color w:val="000000"/>
          <w:sz w:val="26"/>
          <w:szCs w:val="26"/>
          <w:lang w:val="zxx" w:eastAsia="zxx" w:bidi="ar-SA"/>
        </w:rPr>
        <w:t xml:space="preserve">                   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ru-RU" w:eastAsia="zxx" w:bidi="ar-SA"/>
        </w:rPr>
        <w:t>ТУРИСТИЧЕСКАЯ  ФИРМА</w:t>
      </w:r>
    </w:p>
    <w:p>
      <w:pPr>
        <w:pStyle w:val="Normal"/>
        <w:rPr/>
      </w:pPr>
      <w:r>
        <w:rPr>
          <w:rFonts w:eastAsia="Times New Roman" w:cs="Times New Roman"/>
          <w:color w:val="000000"/>
          <w:sz w:val="22"/>
          <w:szCs w:val="22"/>
          <w:lang w:val="ru-RU" w:eastAsia="zxx" w:bidi="ar-SA"/>
        </w:rPr>
        <w:t xml:space="preserve">                                                                   </w:t>
      </w:r>
      <w:r>
        <w:rPr>
          <w:rFonts w:eastAsia="Times New Roman" w:cs="Times New Roman"/>
          <w:color w:val="000000"/>
          <w:sz w:val="80"/>
          <w:szCs w:val="80"/>
          <w:lang w:val="ru-RU" w:eastAsia="zxx" w:bidi="ar-S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80"/>
          <w:szCs w:val="80"/>
          <w:lang w:val="ru-RU" w:eastAsia="zxx" w:bidi="ar-SA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sz w:val="80"/>
          <w:szCs w:val="80"/>
          <w:lang w:val="ru-RU" w:eastAsia="zxx" w:bidi="ar-SA"/>
        </w:rPr>
        <w:t>ЭКОНОМ-ТУРС»</w:t>
      </w:r>
      <w:r>
        <w:rPr>
          <w:rFonts w:eastAsia="Times New Roman" w:cs="Times New Roman"/>
          <w:color w:val="000000"/>
          <w:sz w:val="22"/>
          <w:szCs w:val="22"/>
          <w:lang w:val="ru-RU" w:bidi="ar-SA"/>
        </w:rPr>
        <w:tab/>
        <w:tab/>
        <w:tab/>
        <w:t xml:space="preserve">            </w:t>
      </w:r>
      <w:r>
        <w:rPr>
          <w:rFonts w:eastAsia="Arial" w:cs="Arial"/>
          <w:b/>
          <w:bCs/>
          <w:color w:val="000000"/>
          <w:sz w:val="22"/>
          <w:szCs w:val="22"/>
          <w:lang w:val="ru-RU" w:bidi="ar-SA"/>
        </w:rPr>
        <w:t xml:space="preserve">                                       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sz w:val="22"/>
          <w:szCs w:val="22"/>
          <w:lang w:val="ru-RU" w:bidi="ar-SA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ru-RU" w:bidi="ar-SA"/>
        </w:rPr>
        <w:t xml:space="preserve">тел.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ru-RU" w:eastAsia="zxx" w:bidi="ar-SA"/>
        </w:rPr>
        <w:t>89184787831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ru-RU" w:bidi="ar-SA"/>
        </w:rPr>
        <w:t>,  8918 3888058</w:t>
      </w:r>
    </w:p>
    <w:p>
      <w:pPr>
        <w:pStyle w:val="Normal"/>
        <w:tabs>
          <w:tab w:val="clear" w:pos="708"/>
          <w:tab w:val="left" w:pos="-360" w:leader="none"/>
        </w:tabs>
        <w:ind w:left="-360" w:right="-808" w:hanging="72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ru-RU" w:eastAsia="zxx" w:bidi="ar-SA"/>
        </w:rPr>
        <w:tab/>
        <w:tab/>
        <w:tab/>
        <w:tab/>
        <w:tab/>
        <w:tab/>
        <w:t xml:space="preserve">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0"/>
          <w:szCs w:val="20"/>
          <w:lang w:val="ru-RU" w:eastAsia="zxx" w:bidi="ar-SA"/>
        </w:rPr>
        <w:t xml:space="preserve">www. econom-tours.ru 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0"/>
          <w:szCs w:val="20"/>
          <w:lang w:val="en-US" w:eastAsia="zxx" w:bidi="ar-SA"/>
        </w:rPr>
        <w:t>e-mail:</w:t>
      </w:r>
      <w:hyperlink r:id="rId3">
        <w:r>
          <w:rPr>
            <w:rStyle w:val="ListLabel28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sz w:val="20"/>
            <w:szCs w:val="20"/>
            <w:lang w:val="en-US" w:bidi="ar-SA"/>
          </w:rPr>
          <w:t>econom@mail.ru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0"/>
          <w:szCs w:val="20"/>
          <w:lang w:val="en-US" w:eastAsia="zxx" w:bidi="ar-SA"/>
        </w:rPr>
        <w:t xml:space="preserve"> </w:t>
      </w:r>
    </w:p>
    <w:p>
      <w:pPr>
        <w:pStyle w:val="Style30"/>
        <w:spacing w:before="0" w:after="0"/>
        <w:rPr/>
      </w:pPr>
      <w:r>
        <w:rPr>
          <w:rFonts w:ascii="Montserrat" w:hAnsi="Montserrat"/>
          <w:b/>
          <w:i w:val="false"/>
          <w:color w:val="000000" w:themeColor="text1"/>
          <w:sz w:val="40"/>
          <w:szCs w:val="44"/>
        </w:rPr>
        <w:t>«КавМинВоды – источник вдохновения» (</w:t>
      </w:r>
      <w:r>
        <w:rPr>
          <w:rFonts w:ascii="Montserrat" w:hAnsi="Montserrat"/>
          <w:b/>
          <w:i w:val="false"/>
          <w:color w:val="000000" w:themeColor="text1"/>
          <w:sz w:val="40"/>
          <w:szCs w:val="44"/>
        </w:rPr>
        <w:t>4</w:t>
      </w:r>
      <w:r>
        <w:rPr>
          <w:rFonts w:ascii="Montserrat" w:hAnsi="Montserrat"/>
          <w:b/>
          <w:i w:val="false"/>
          <w:color w:val="000000" w:themeColor="text1"/>
          <w:sz w:val="40"/>
          <w:szCs w:val="44"/>
        </w:rPr>
        <w:t xml:space="preserve"> дн/</w:t>
      </w:r>
      <w:r>
        <w:rPr>
          <w:rFonts w:ascii="Montserrat" w:hAnsi="Montserrat"/>
          <w:b/>
          <w:i w:val="false"/>
          <w:color w:val="000000" w:themeColor="text1"/>
          <w:sz w:val="40"/>
          <w:szCs w:val="44"/>
        </w:rPr>
        <w:t>3</w:t>
      </w:r>
      <w:r>
        <w:rPr>
          <w:rFonts w:ascii="Montserrat" w:hAnsi="Montserrat"/>
          <w:b/>
          <w:i w:val="false"/>
          <w:color w:val="000000" w:themeColor="text1"/>
          <w:sz w:val="40"/>
          <w:szCs w:val="44"/>
        </w:rPr>
        <w:t xml:space="preserve"> н) </w:t>
      </w:r>
      <w:r>
        <w:rPr>
          <w:rFonts w:ascii="Montserrat" w:hAnsi="Montserrat"/>
          <w:b/>
          <w:i w:val="false"/>
          <w:color w:val="000000"/>
          <w:sz w:val="40"/>
          <w:szCs w:val="44"/>
        </w:rPr>
        <w:t xml:space="preserve"> осень 202</w:t>
      </w:r>
      <w:r>
        <w:rPr>
          <w:rFonts w:eastAsia="Arial" w:cs="Arial" w:ascii="Montserrat" w:hAnsi="Montserrat"/>
          <w:b/>
          <w:i w:val="false"/>
          <w:iCs/>
          <w:color w:val="000000"/>
          <w:kern w:val="0"/>
          <w:sz w:val="40"/>
          <w:szCs w:val="44"/>
          <w:lang w:val="ru-RU" w:eastAsia="en-US" w:bidi="ar-SA"/>
        </w:rPr>
        <w:t>4</w:t>
      </w:r>
    </w:p>
    <w:tbl>
      <w:tblPr>
        <w:tblStyle w:val="af2"/>
        <w:tblW w:w="109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10245"/>
      </w:tblGrid>
      <w:tr>
        <w:trPr>
          <w:trHeight w:val="345" w:hRule="atLeast"/>
        </w:trPr>
        <w:tc>
          <w:tcPr>
            <w:tcW w:w="7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b/>
                <w:i w:val="false"/>
                <w:i w:val="false"/>
                <w:color w:val="000000"/>
              </w:rPr>
            </w:pPr>
            <w:r>
              <w:rPr>
                <w:rFonts w:eastAsia="Arial" w:cs="Arial" w:eastAsiaTheme="minorEastAsia" w:ascii="Georgia" w:hAnsi="Georgia"/>
                <w:b/>
                <w:bCs/>
                <w:i w:val="false"/>
                <w:color w:val="000000"/>
                <w:kern w:val="0"/>
                <w:lang w:val="ru-RU" w:eastAsia="en-US" w:bidi="ar-SA"/>
              </w:rPr>
              <w:t>день</w:t>
            </w:r>
          </w:p>
        </w:tc>
        <w:tc>
          <w:tcPr>
            <w:tcW w:w="10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b/>
                <w:i w:val="false"/>
                <w:i w:val="false"/>
                <w:color w:val="000000"/>
              </w:rPr>
            </w:pPr>
            <w:r>
              <w:rPr>
                <w:rFonts w:eastAsia="Arial" w:cs="Arial" w:eastAsiaTheme="minorEastAsia" w:ascii="Montserrat" w:hAnsi="Montserrat"/>
                <w:b/>
                <w:i w:val="false"/>
                <w:color w:val="000000"/>
                <w:kern w:val="0"/>
                <w:lang w:val="ru-RU" w:eastAsia="en-US" w:bidi="ar-SA"/>
              </w:rPr>
              <w:t>Программа</w:t>
            </w:r>
          </w:p>
        </w:tc>
      </w:tr>
      <w:tr>
        <w:trPr>
          <w:trHeight w:val="1134" w:hRule="atLeast"/>
          <w:cantSplit w:val="true"/>
        </w:trPr>
        <w:tc>
          <w:tcPr>
            <w:tcW w:w="743" w:type="dxa"/>
            <w:tcBorders/>
            <w:shd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Montserrat" w:hAnsi="Montserrat"/>
                <w:b/>
                <w:b/>
                <w:i w:val="false"/>
                <w:i w:val="false"/>
                <w:color w:val="000000"/>
              </w:rPr>
            </w:pPr>
            <w:r>
              <w:rPr>
                <w:rFonts w:eastAsia="Arial" w:cs="Arial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rial" w:cs="Times New Roman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1 день</w:t>
            </w:r>
          </w:p>
        </w:tc>
        <w:tc>
          <w:tcPr>
            <w:tcW w:w="10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 xml:space="preserve">Выезд  </w:t>
            </w: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на автобусе</w:t>
            </w: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 xml:space="preserve"> в 5 .00  из Краснодара  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Приезд в г. Минеральные Воды. Обед. Размещение в гостинице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Calibri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«Маленькая Швейцария» — Железноводск. Этот небольшой уютный городок расположен у самого подножия горы-лакколита — горы Железной. Город стал знаменит во многом благодаря своим термальным источникам. Их открытие и изучение принадлежат выдающимся научным деятелям — докторам Смирнову и Славянову. В наши дни минеральная вода Железноводска пользуется огромной популярностью и спросом. В городе работают санатории, в которых лечатся тысячи людей ежегодно. Также город славится не только водой, но и своей живописной природой, своим курортным парком с его скверами, фонтанами, бюветами и теренкурами. Парк города Железноводска — это его достояние. Этот парк, в отличие от парков других городов КМВ, является парком естественного происхождения. В этом его уникальность и самобытность.                                                                                                                                                                        Во время прогулки по парку вы осмотрите Лермонтовский бювет, «Яйцо судьбы», дворец эмира Бухарского, Пушкинскую галерею, Славяновский и Смирновский бюветы и, конечно, пройдётесь по знаменитой Каскадной лестнице.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Calibri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rial" w:cs="Calibri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Ужин в гостинице, отдых.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Arial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Times New Roman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43" w:type="dxa"/>
            <w:tcBorders/>
            <w:shd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Times New Roman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2 день</w:t>
            </w:r>
          </w:p>
        </w:tc>
        <w:tc>
          <w:tcPr>
            <w:tcW w:w="10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7.00 Завтрак.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Экскурсия по замечательному горному краю, воспетому Владимиром Высоцким, Юрием Визбором и Михаилом Калинкиным - по Приэльбрусью. Снежно-ледовый Эльбрус завораживает и манит своей недоступностью. Этот край богат сосновыми лесами, отличается живописными пейзажами, бурными  реками и зеркалами голубых озёр, грандиозными водопадами, чистотой воздуха. Дорога ведет вдоль Баксанского ущелья к подножью Эльбруса. Автобусная часть маршрута заканчивается на пояне Азау. С нее начинается подъем на Эльбрус. Подъем на канатной дорогена Эльбрус.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Обед в кафе (дополнительно).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>Переезд и экскурсия на поляну нарзанов. Нарзанные процедуры: питье, обливание в единственном в своём роде фонтанирующем нарзане. Не забудьте взять с собой  чистые пустые бутылки для нарзана.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Возвращение в гостиницу.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Ужин . </w:t>
            </w:r>
            <w:r>
              <w:rPr>
                <w:rFonts w:eastAsia="Arial" w:cs="Calibri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zh-CN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43" w:type="dxa"/>
            <w:tcBorders/>
            <w:shd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Times New Roman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3 день</w:t>
            </w:r>
          </w:p>
        </w:tc>
        <w:tc>
          <w:tcPr>
            <w:tcW w:w="10245" w:type="dxa"/>
            <w:tcBorders/>
            <w:shd w:fill="auto" w:val="clear"/>
          </w:tcPr>
          <w:p>
            <w:pPr>
              <w:pStyle w:val="Normal"/>
              <w:widowControl w:val="false"/>
              <w:shd w:fill="FFFFFF" w:val="clear"/>
              <w:suppressAutoHyphens w:val="true"/>
              <w:autoSpaceDE w:val="false"/>
              <w:spacing w:lineRule="atLeast" w:line="240" w:before="0" w:after="0"/>
              <w:jc w:val="left"/>
              <w:textAlignment w:val="baselin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>8.00  Завтрак .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autoSpaceDE w:val="false"/>
              <w:spacing w:lineRule="atLeast" w:line="240" w:before="0" w:after="0"/>
              <w:jc w:val="left"/>
              <w:textAlignment w:val="baselin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SimSun;宋体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eastAsia="zh-CN"/>
              </w:rPr>
              <w:t>Автобусно-пешеходная экскурсия в город солнца – Кисловодск. Прогулка по самому красивому парку Северного Кавказа – курортному Кисловодскому парку, где вы увидите достопримечательности Нижнего парка:  мостик Дамский каприз, Зеркальный пруд, Стеклянную струю. Прогулка к Лермонтовской площадке и скульптуре Демон. Посещение Кисловодской крепости,  Нарзанной галереи.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3780" w:leader="none"/>
              </w:tabs>
              <w:suppressAutoHyphens w:val="true"/>
              <w:autoSpaceDE w:val="false"/>
              <w:spacing w:lineRule="auto" w:line="240" w:before="0" w:after="0"/>
              <w:ind w:right="34" w:hanging="0"/>
              <w:jc w:val="left"/>
              <w:textAlignment w:val="baseline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 xml:space="preserve">Обед в кафе на маршруте </w:t>
            </w:r>
            <w:r>
              <w:rPr>
                <w:rFonts w:eastAsia="Arial" w:cs="Calibri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zh-CN" w:bidi="ar-SA"/>
              </w:rPr>
              <w:t xml:space="preserve"> (дополнительно).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0" w:leader="none"/>
              </w:tabs>
              <w:suppressAutoHyphens w:val="tru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Автобусная экскурсия к Медовым водопадам, которые находятся на плато Бермамыт, куда любил отправляться Лермонтов верхом на лошади на рассвете, чтобы полюбоваться Эльбрусом. Всего час пути, и Вы в живописнейшем ущелье реки Аликоновка, где находятся 5 водопадов. Медовые водопады находятся на территории КЧР, поэтому есть возможность отведать национальную карачаевскую кухню: шашлыки, хычины, айран. </w:t>
            </w: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0" w:leader="none"/>
              </w:tabs>
              <w:suppressAutoHyphens w:val="tru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SimSun;宋体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zh-CN" w:bidi="ar-SA"/>
              </w:rPr>
              <w:t xml:space="preserve">Термальные бассейны.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0" w:leader="none"/>
              </w:tabs>
              <w:suppressAutoHyphens w:val="tru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>Возвращение в гостиницу,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0" w:leader="none"/>
              </w:tabs>
              <w:suppressAutoHyphens w:val="true"/>
              <w:spacing w:lineRule="auto" w:line="240" w:before="0" w:after="0"/>
              <w:ind w:right="34" w:hanging="0"/>
              <w:jc w:val="left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>жин.</w:t>
            </w:r>
          </w:p>
        </w:tc>
      </w:tr>
      <w:tr>
        <w:trPr>
          <w:trHeight w:val="1134" w:hRule="atLeast"/>
          <w:cantSplit w:val="true"/>
        </w:trPr>
        <w:tc>
          <w:tcPr>
            <w:tcW w:w="743" w:type="dxa"/>
            <w:tcBorders>
              <w:top w:val="nil"/>
            </w:tcBorders>
            <w:shd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Arial" w:hAnsi="Arial" w:eastAsia="Arial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Arial" w:cs="Arial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rial" w:cs="Arial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4 </w:t>
            </w:r>
            <w:r>
              <w:rPr>
                <w:rFonts w:eastAsia="Arial" w:cs="Times New Roman" w:eastAsiaTheme="minorEastAsia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en-US" w:bidi="ar-SA"/>
              </w:rPr>
              <w:t>день</w:t>
            </w:r>
          </w:p>
        </w:tc>
        <w:tc>
          <w:tcPr>
            <w:tcW w:w="10245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780" w:leader="none"/>
              </w:tabs>
              <w:spacing w:lineRule="auto" w:line="240" w:before="0" w:after="20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 xml:space="preserve">9.00 Завтрак.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 xml:space="preserve"> Автобусно-пешеходная экскурсия «Романтический Пятигорск» с посещением и осмотром: Карстового озера Провал; Эоловой Арфы, Академической галереи,  травертиновой горы Горячей, Китайской беседки, скульптуры Орел, парка Цветник;  минеральных источников в Питьевой галерее  (дегустация – бесплатно); Здания театра Музкомедии, бывшей гостиницы Бристоль, кофейни Гукасова, здания бывшей Ресторации, грота Дианы, Лермонтовской галереи;  сквера Лермонтова с первым памятником поэту, Спасского Собора</w:t>
            </w:r>
            <w:r>
              <w:rPr>
                <w:rFonts w:eastAsia="Arial" w:cs="Calibri" w:ascii="Arial" w:hAnsi="Arial" w:eastAsiaTheme="minorEastAsia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lang w:eastAsia="zh-CN"/>
              </w:rPr>
              <w:t xml:space="preserve">.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SimSun;宋体" w:cs="Calibri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0"/>
                <w:szCs w:val="20"/>
                <w:lang w:eastAsia="zh-CN"/>
              </w:rPr>
              <w:t>Вершина горы Машук (994м над у/м). Подъем канатной дорогой. С вершины Машука открывается незабываемая круговая панорама не только гор Кавминвод, но и восхитительный  вид  на весь Кавказский Хребет. Посещение Места  дуэли М.Ю. Лермонтова.                                                                                                                Обед в кафе (дополнительно) на маршруте.                                                                                                         Отправление автобуса в Краснодар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b/>
          <w:i w:val="false"/>
          <w:i w:val="false"/>
          <w:color w:val="000000"/>
          <w:sz w:val="24"/>
          <w:szCs w:val="24"/>
        </w:rPr>
      </w:pPr>
      <w:r>
        <w:rPr>
          <w:rFonts w:ascii="Montserrat" w:hAnsi="Montserrat"/>
          <w:b/>
          <w:i w:val="false"/>
          <w:color w:val="000000"/>
          <w:sz w:val="24"/>
          <w:szCs w:val="24"/>
        </w:rPr>
      </w:r>
    </w:p>
    <w:p>
      <w:pPr>
        <w:pStyle w:val="Style32"/>
        <w:shd w:fill="FFFFFF" w:val="clear"/>
        <w:spacing w:before="0" w:after="280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auto"/>
          <w:sz w:val="20"/>
          <w:szCs w:val="20"/>
          <w:lang w:eastAsia="zh-CN"/>
        </w:rPr>
        <w:t xml:space="preserve">Стоимость тура с человека </w:t>
      </w:r>
    </w:p>
    <w:tbl>
      <w:tblPr>
        <w:tblW w:w="11330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  <w:gridCol w:w="2710"/>
        <w:gridCol w:w="2725"/>
      </w:tblGrid>
      <w:tr>
        <w:trPr/>
        <w:tc>
          <w:tcPr>
            <w:tcW w:w="58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000080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Arial CYR" w:cs="Calibri" w:ascii="Arial" w:hAnsi="Arial"/>
                <w:b/>
                <w:bCs/>
                <w:sz w:val="20"/>
                <w:szCs w:val="20"/>
                <w:lang w:eastAsia="zh-CN"/>
              </w:rPr>
              <w:t xml:space="preserve">Гостиница  «КОРОНА»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="Arial CYR" w:cs="Calibri" w:ascii="Arial" w:hAnsi="Arial"/>
                <w:b/>
                <w:bCs/>
                <w:sz w:val="20"/>
                <w:szCs w:val="20"/>
                <w:lang w:eastAsia="zh-CN"/>
              </w:rPr>
              <w:t>г.Минеральные Воды</w:t>
            </w:r>
          </w:p>
        </w:tc>
        <w:tc>
          <w:tcPr>
            <w:tcW w:w="2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000080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        </w:t>
            </w: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 xml:space="preserve">Стоимость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>группа 40+4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7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000080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 xml:space="preserve">Стоимость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 w:cs="Calibri" w:ascii="Arial" w:hAnsi="Arial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>группа 30+3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eastAsia="Arial CYR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CYR" w:cs="Calibri" w:ascii="Arial" w:hAnsi="Arial"/>
                <w:b/>
                <w:bCs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58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 xml:space="preserve">2-3 х местный стандарт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7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24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00</w:t>
            </w:r>
          </w:p>
        </w:tc>
      </w:tr>
      <w:tr>
        <w:trPr/>
        <w:tc>
          <w:tcPr>
            <w:tcW w:w="58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  <w:t>1-но местное размещение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60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7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27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eastAsia="Times New Roman" w:cs="Calibri" w:ascii="Arial" w:hAnsi="Arial"/>
                <w:b/>
                <w:sz w:val="24"/>
                <w:szCs w:val="24"/>
                <w:lang w:eastAsia="zh-CN"/>
              </w:rPr>
              <w:t>00</w:t>
            </w:r>
          </w:p>
        </w:tc>
      </w:tr>
    </w:tbl>
    <w:p>
      <w:pPr>
        <w:pStyle w:val="Normal"/>
        <w:widowControl w:val="false"/>
        <w:suppressAutoHyphens w:val="true"/>
        <w:autoSpaceDE w:val="false"/>
        <w:spacing w:lineRule="auto" w:line="240" w:before="0" w:after="0"/>
        <w:rPr>
          <w:rFonts w:ascii="Arial" w:hAnsi="Arial" w:eastAsia="Times New Roman" w:cs="Calibri"/>
          <w:sz w:val="20"/>
          <w:szCs w:val="20"/>
          <w:lang w:eastAsia="zh-CN"/>
        </w:rPr>
      </w:pPr>
      <w:r>
        <w:rPr>
          <w:rFonts w:eastAsia="Times New Roman" w:cs="Calibri" w:ascii="Arial" w:hAnsi="Arial"/>
          <w:sz w:val="20"/>
          <w:szCs w:val="20"/>
          <w:lang w:eastAsia="zh-CN"/>
        </w:rPr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rPr>
          <w:rFonts w:ascii="Arial" w:hAnsi="Arial" w:eastAsia="Times New Roman" w:cs="Calibri"/>
          <w:sz w:val="20"/>
          <w:szCs w:val="20"/>
          <w:lang w:eastAsia="zh-CN"/>
        </w:rPr>
      </w:pPr>
      <w:r>
        <w:rPr>
          <w:rFonts w:eastAsia="Times New Roman" w:cs="Calibri" w:ascii="Arial" w:hAnsi="Arial"/>
          <w:sz w:val="20"/>
          <w:szCs w:val="20"/>
          <w:lang w:eastAsia="zh-CN"/>
        </w:rPr>
      </w:r>
    </w:p>
    <w:tbl>
      <w:tblPr>
        <w:tblW w:w="10963" w:type="dxa"/>
        <w:jc w:val="left"/>
        <w:tblInd w:w="-10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6507"/>
      </w:tblGrid>
      <w:tr>
        <w:trPr>
          <w:trHeight w:val="120" w:hRule="atLeast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b/>
                <w:b/>
                <w:bCs/>
                <w:color w:val="00B0F0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color w:val="00B0F0"/>
                <w:sz w:val="20"/>
                <w:szCs w:val="20"/>
                <w:lang w:eastAsia="zh-CN"/>
              </w:rPr>
              <w:t>В стоимость входит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b/>
                <w:b/>
                <w:bCs/>
                <w:color w:val="00B0F0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b/>
                <w:bCs/>
                <w:color w:val="00B0F0"/>
                <w:sz w:val="20"/>
                <w:szCs w:val="20"/>
                <w:lang w:eastAsia="zh-CN"/>
              </w:rPr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/>
                <w:bCs/>
                <w:color w:val="00B0F0"/>
                <w:sz w:val="20"/>
                <w:szCs w:val="20"/>
                <w:lang w:eastAsia="zh-CN"/>
              </w:rPr>
              <w:t xml:space="preserve">Дополнительно оплачивается с человека </w:t>
            </w:r>
            <w:r>
              <w:rPr>
                <w:rFonts w:eastAsia="Times New Roman" w:cs="Calibri" w:ascii="Arial" w:hAnsi="Arial"/>
                <w:bCs/>
                <w:sz w:val="20"/>
                <w:szCs w:val="20"/>
                <w:lang w:eastAsia="zh-CN"/>
              </w:rPr>
              <w:t>Стоимость может меняться !</w:t>
            </w:r>
          </w:p>
        </w:tc>
      </w:tr>
      <w:tr>
        <w:trPr>
          <w:trHeight w:val="4571" w:hRule="atLeast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проезд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проживание в выбранных номерах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питание по программе –3 завтрака, 1 обед и 3 ужина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страховка НС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экскурсионное обслуживание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>Дополнительное питание на маршруте за свой счёт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autoSpaceDE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b/>
                <w:sz w:val="20"/>
                <w:szCs w:val="20"/>
                <w:lang w:eastAsia="zh-CN"/>
              </w:rPr>
              <w:t>Курортный сбор  300 руб (наличка при заселении, взрослые)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autoSpaceDE w:val="false"/>
              <w:spacing w:lineRule="auto" w:line="240" w:before="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color w:val="000000"/>
                <w:sz w:val="20"/>
                <w:szCs w:val="20"/>
                <w:lang w:eastAsia="zh-CN"/>
              </w:rPr>
              <w:t>Канатная дорога на г. Машук – 380 руб\100 руб(5-8 лет)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uppressAutoHyphens w:val="true"/>
              <w:autoSpaceDE w:val="false"/>
              <w:spacing w:lineRule="auto" w:line="240" w:before="75" w:after="75"/>
              <w:rPr>
                <w:rFonts w:ascii="Arial" w:hAnsi="Arial"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Arial" w:hAnsi="Arial"/>
                <w:color w:val="000000"/>
                <w:sz w:val="20"/>
                <w:szCs w:val="20"/>
                <w:lang w:eastAsia="zh-CN"/>
              </w:rPr>
              <w:t>Домик Лермонтова: взр – только домик 150 руб (250 руб. по всему музею), дет. – только домик 100 руб (150 руб. по всему музею)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uppressAutoHyphens w:val="true"/>
              <w:autoSpaceDE w:val="false"/>
              <w:spacing w:lineRule="auto" w:line="240" w:before="75" w:after="75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color w:val="000000"/>
                <w:sz w:val="20"/>
                <w:szCs w:val="20"/>
                <w:lang w:eastAsia="zh-CN"/>
              </w:rPr>
              <w:t>Входной билет на территорию Медовых водопадов – 100  руб.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uppressAutoHyphens w:val="true"/>
              <w:autoSpaceDE w:val="false"/>
              <w:spacing w:lineRule="auto" w:line="240" w:before="75" w:after="75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color w:val="000000"/>
                <w:sz w:val="20"/>
                <w:szCs w:val="20"/>
                <w:lang w:eastAsia="zh-CN"/>
              </w:rPr>
              <w:t>Термальные бассейны — 600 руб\350 руб (5-12 лет)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Calibri" w:ascii="Arial" w:hAnsi="Arial"/>
                <w:sz w:val="20"/>
                <w:szCs w:val="20"/>
                <w:lang w:eastAsia="zh-CN"/>
              </w:rPr>
              <w:t xml:space="preserve">Канатная дорога на Эльбрус (Азау)- 2100/1200 руб (взрослый,  дети с 6-13 лет  включительно)  </w:t>
            </w:r>
          </w:p>
        </w:tc>
      </w:tr>
    </w:tbl>
    <w:p>
      <w:pPr>
        <w:pStyle w:val="Normal"/>
        <w:suppressLineNumbers/>
        <w:suppressAutoHyphens w:val="true"/>
        <w:snapToGrid w:val="false"/>
        <w:spacing w:lineRule="auto" w:line="240" w:before="0" w:after="0"/>
        <w:jc w:val="center"/>
        <w:rPr>
          <w:rFonts w:ascii="Arial" w:hAnsi="Arial" w:eastAsia="Times New Roman" w:cs="Calibri"/>
          <w:b/>
          <w:b/>
          <w:bCs/>
          <w:i w:val="false"/>
          <w:i w:val="false"/>
          <w:iCs w:val="false"/>
          <w:color w:val="FF0000"/>
          <w:sz w:val="20"/>
          <w:szCs w:val="20"/>
          <w:lang w:eastAsia="zh-CN"/>
        </w:rPr>
      </w:pPr>
      <w:r>
        <w:rPr>
          <w:rFonts w:eastAsia="Times New Roman" w:cs="Calibri" w:ascii="Arial" w:hAnsi="Arial"/>
          <w:b/>
          <w:bCs/>
          <w:i w:val="false"/>
          <w:iCs w:val="false"/>
          <w:color w:val="FF0000"/>
          <w:sz w:val="20"/>
          <w:szCs w:val="20"/>
          <w:lang w:eastAsia="zh-CN"/>
        </w:rPr>
      </w:r>
    </w:p>
    <w:p>
      <w:pPr>
        <w:pStyle w:val="Normal"/>
        <w:suppressLineNumbers/>
        <w:suppressAutoHyphens w:val="true"/>
        <w:snapToGrid w:val="fals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i w:val="false"/>
          <w:i w:val="false"/>
          <w:iCs w:val="false"/>
          <w:sz w:val="20"/>
          <w:szCs w:val="20"/>
          <w:lang w:eastAsia="ar-SA"/>
        </w:rPr>
      </w:pPr>
      <w:r>
        <w:rPr>
          <w:rFonts w:eastAsia="Times New Roman" w:cs="Times New Roman" w:ascii="Arial" w:hAnsi="Arial"/>
          <w:b/>
          <w:i w:val="false"/>
          <w:iCs w:val="false"/>
          <w:sz w:val="20"/>
          <w:szCs w:val="20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 w:themeColor="text1"/>
          <w:sz w:val="20"/>
          <w:szCs w:val="20"/>
        </w:rPr>
        <w:t>Туристская фирма  оставляет за собой право менять последовательность автобусных и пешеходных экскурсий, замену их равноценными.</w:t>
      </w:r>
      <w:r>
        <w:rPr>
          <w:rFonts w:eastAsia="Times New Roman" w:cs="Arial" w:ascii="Arial" w:hAnsi="Arial"/>
          <w:b/>
          <w:bCs/>
          <w:i w:val="false"/>
          <w:color w:val="000000" w:themeColor="text1"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olor w:val="000000" w:themeColor="text1"/>
          <w:sz w:val="16"/>
          <w:szCs w:val="16"/>
        </w:rPr>
        <w:t xml:space="preserve">          </w:t>
      </w:r>
      <w:r>
        <w:rPr>
          <w:rFonts w:eastAsia="Times New Roman" w:cs="Arial" w:ascii="Arial" w:hAnsi="Arial"/>
          <w:b/>
          <w:bCs/>
          <w:i w:val="false"/>
          <w:color w:val="000000" w:themeColor="text1"/>
          <w:sz w:val="16"/>
          <w:szCs w:val="16"/>
          <w:lang w:val="zxx" w:eastAsia="zxx" w:bidi="ar-SA"/>
        </w:rPr>
        <w:t xml:space="preserve">                                                                                             </w:t>
      </w:r>
    </w:p>
    <w:sectPr>
      <w:type w:val="nextPage"/>
      <w:pgSz w:w="11906" w:h="16838"/>
      <w:pgMar w:left="709" w:right="707" w:header="0" w:top="568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rFonts w:cs="Symbol"/>
        <w:lang w:eastAsia="zh-CN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zh-C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lang w:eastAsia="zh-C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138d"/>
    <w:pPr>
      <w:widowControl/>
      <w:suppressAutoHyphens w:val="true"/>
      <w:bidi w:val="0"/>
      <w:spacing w:lineRule="auto" w:line="288" w:before="0" w:after="200"/>
      <w:jc w:val="left"/>
    </w:pPr>
    <w:rPr>
      <w:rFonts w:ascii="Calibri" w:hAnsi="Calibri" w:eastAsia="Arial" w:cs="Arial" w:eastAsiaTheme="minorEastAsia"/>
      <w:i/>
      <w:iCs/>
      <w:color w:val="auto"/>
      <w:kern w:val="0"/>
      <w:sz w:val="20"/>
      <w:szCs w:val="20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lineRule="auto" w:line="240" w:before="200" w:after="100"/>
      <w:ind w:left="144" w:hanging="0"/>
      <w:contextualSpacing/>
      <w:outlineLvl w:val="2"/>
    </w:pPr>
    <w:rPr>
      <w:rFonts w:ascii="Cambria" w:hAnsi="Cambria" w:eastAsia="Arial" w:cs="Arial" w:asciiTheme="majorHAnsi" w:cstheme="majorBid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5" w:customStyle="1">
    <w:name w:val="Выделенная цитата Знак"/>
    <w:link w:val="IntenseQuote"/>
    <w:uiPriority w:val="30"/>
    <w:qFormat/>
    <w:rPr>
      <w:i/>
    </w:rPr>
  </w:style>
  <w:style w:type="character" w:styleId="Style6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Style11" w:customStyle="1">
    <w:name w:val="Название Знак"/>
    <w:basedOn w:val="DefaultParagraphFont"/>
    <w:uiPriority w:val="10"/>
    <w:qFormat/>
    <w:rPr>
      <w:rFonts w:ascii="Cambria" w:hAnsi="Cambria" w:eastAsia="Arial" w:cs="Arial" w:asciiTheme="majorHAnsi" w:cstheme="majorBidi" w:eastAsiaTheme="majorEastAsia" w:hAnsiTheme="majorHAnsi"/>
      <w:i/>
      <w:iCs/>
      <w:color w:val="FFFFFF" w:themeColor="background1"/>
      <w:spacing w:val="10"/>
      <w:sz w:val="48"/>
      <w:szCs w:val="48"/>
      <w:shd w:fill="C0504D" w:val="clear"/>
    </w:rPr>
  </w:style>
  <w:style w:type="character" w:styleId="Style12" w:customStyle="1">
    <w:name w:val="Подзаголовок Знак"/>
    <w:basedOn w:val="DefaultParagraphFont"/>
    <w:uiPriority w:val="11"/>
    <w:qFormat/>
    <w:rPr>
      <w:rFonts w:ascii="Cambria" w:hAnsi="Cambria" w:eastAsia="Arial" w:cs="Arial" w:asciiTheme="majorHAnsi" w:cstheme="majorBidi" w:eastAsiaTheme="majorEastAsia" w:hAnsiTheme="majorHAns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IntenseEmphasis">
    <w:name w:val="Intense Emphasis"/>
    <w:uiPriority w:val="21"/>
    <w:qFormat/>
    <w:rPr>
      <w:rFonts w:ascii="Cambria" w:hAnsi="Cambria" w:eastAsia="Arial" w:cs="Arial" w:asciiTheme="majorHAnsi" w:cstheme="majorBidi" w:eastAsiaTheme="majorEastAsia" w:hAnsiTheme="majorHAnsi"/>
      <w:i/>
      <w:iCs/>
      <w:color w:val="FFFFFF" w:themeColor="background1"/>
      <w:position w:val="0"/>
      <w:sz w:val="22"/>
      <w:sz w:val="22"/>
      <w:shd w:fill="C0504D" w:val="clear"/>
      <w:vertAlign w:val="baseline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3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Pr>
      <w:rFonts w:eastAsia="Arial" w:eastAsiaTheme="minorEastAsia"/>
      <w:i/>
      <w:iCs/>
      <w:sz w:val="20"/>
      <w:szCs w:val="20"/>
    </w:rPr>
  </w:style>
  <w:style w:type="character" w:styleId="Style15">
    <w:name w:val="Выделение"/>
    <w:basedOn w:val="DefaultParagraphFont"/>
    <w:uiPriority w:val="20"/>
    <w:qFormat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Arial" w:cs="Segoe UI" w:eastAsiaTheme="minorEastAsia"/>
      <w:i/>
      <w:iCs/>
      <w:sz w:val="18"/>
      <w:szCs w:val="18"/>
    </w:rPr>
  </w:style>
  <w:style w:type="character" w:styleId="61" w:customStyle="1">
    <w:name w:val="Заголовок 6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243F60" w:themeColor="accent1" w:themeShade="7f"/>
      <w:sz w:val="20"/>
      <w:szCs w:val="20"/>
    </w:rPr>
  </w:style>
  <w:style w:type="character" w:styleId="Gdlrcoreiconlistcontent" w:customStyle="1">
    <w:name w:val="gdlr-core-icon-list-content"/>
    <w:basedOn w:val="DefaultParagraphFont"/>
    <w:qFormat/>
    <w:rPr/>
  </w:style>
  <w:style w:type="character" w:styleId="Style17" w:customStyle="1">
    <w:name w:val="Основной текст Знак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z0">
    <w:name w:val="WW8Num1z0"/>
    <w:qFormat/>
    <w:rPr>
      <w:rFonts w:ascii="Symbol" w:hAnsi="Symbol" w:eastAsia="Times New Roman" w:cs="Symbol"/>
      <w:sz w:val="24"/>
      <w:szCs w:val="24"/>
      <w:lang w:eastAsia="zh-CN"/>
    </w:rPr>
  </w:style>
  <w:style w:type="character" w:styleId="WW8Num3z0">
    <w:name w:val="WW8Num3z0"/>
    <w:qFormat/>
    <w:rPr>
      <w:rFonts w:ascii="Symbol" w:hAnsi="Symbol" w:eastAsia="Times New Roman" w:cs="Symbol"/>
      <w:color w:val="000000"/>
      <w:sz w:val="24"/>
      <w:szCs w:val="24"/>
      <w:lang w:eastAsia="zh-C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eastAsia="Times New Roman" w:cs="Symbol"/>
      <w:sz w:val="24"/>
      <w:szCs w:val="24"/>
      <w:lang w:eastAsia="zh-C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7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i w:val="false"/>
      <w:iCs w:val="false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/>
  </w:style>
  <w:style w:type="paragraph" w:styleId="IntenseQuote">
    <w:name w:val="Intense Quote"/>
    <w:basedOn w:val="Normal"/>
    <w:next w:val="Normal"/>
    <w:link w:val="Style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Style6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9"/>
    <w:uiPriority w:val="99"/>
    <w:semiHidden/>
    <w:unhideWhenUsed/>
    <w:pPr>
      <w:spacing w:lineRule="auto" w:line="240" w:before="0" w:after="0"/>
    </w:pPr>
    <w:rPr/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9">
    <w:name w:val="Title"/>
    <w:basedOn w:val="Normal"/>
    <w:next w:val="Normal"/>
    <w:link w:val="Style11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lineRule="auto" w:line="240" w:before="0" w:after="0"/>
      <w:jc w:val="center"/>
    </w:pPr>
    <w:rPr>
      <w:rFonts w:ascii="Cambria" w:hAnsi="Cambria" w:eastAsia="Arial" w:cs="Arial" w:asciiTheme="majorHAnsi" w:cstheme="majorBidi" w:eastAsiaTheme="majorEastAsia" w:hAnsiTheme="majorHAnsi"/>
      <w:color w:val="FFFFFF" w:themeColor="background1"/>
      <w:spacing w:val="10"/>
      <w:sz w:val="48"/>
      <w:szCs w:val="48"/>
    </w:rPr>
  </w:style>
  <w:style w:type="paragraph" w:styleId="Style30">
    <w:name w:val="Subtitle"/>
    <w:basedOn w:val="Normal"/>
    <w:next w:val="Normal"/>
    <w:link w:val="Style12"/>
    <w:uiPriority w:val="11"/>
    <w:qFormat/>
    <w:pPr>
      <w:pBdr>
        <w:bottom w:val="single" w:sz="8" w:space="10" w:color="C0504D"/>
      </w:pBdr>
      <w:spacing w:lineRule="auto" w:line="240" w:before="200" w:after="900"/>
      <w:jc w:val="center"/>
    </w:pPr>
    <w:rPr>
      <w:rFonts w:ascii="Cambria" w:hAnsi="Cambria" w:eastAsia="Arial" w:cs="Arial" w:asciiTheme="majorHAnsi" w:cstheme="majorBidi" w:eastAsiaTheme="majorEastAsia" w:hAnsiTheme="majorHAnsi"/>
      <w:color w:val="622423" w:themeColor="accent2" w:themeShade="7f"/>
      <w:sz w:val="24"/>
      <w:szCs w:val="24"/>
    </w:rPr>
  </w:style>
  <w:style w:type="paragraph" w:styleId="Style31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i w:val="false"/>
      <w:iCs w:val="false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2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conom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9F6BC61-40F2-4414-A181-561830BF0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LibreOffice/6.3.1.2$Windows_x86 LibreOffice_project/b79626edf0065ac373bd1df5c28bd630b4424273</Application>
  <Pages>2</Pages>
  <Words>647</Words>
  <Characters>4168</Characters>
  <CharactersWithSpaces>5984</CharactersWithSpaces>
  <Paragraphs>56</Paragraphs>
  <Company>sborka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2022-12-16T09:14:00Z</dcterms:created>
  <dc:creator>Director</dc:creator>
  <dc:description/>
  <dc:language>ru-RU</dc:language>
  <cp:lastModifiedBy/>
  <dcterms:modified xsi:type="dcterms:W3CDTF">2024-08-28T19:34:37Z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sborka</vt:lpwstr>
  </property>
</Properties>
</file>